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6267A" w14:textId="77777777" w:rsidR="002F1795" w:rsidRPr="00503BB1" w:rsidRDefault="002F1795" w:rsidP="002F1795">
      <w:pPr>
        <w:pStyle w:val="BodyText"/>
        <w:spacing w:after="40" w:line="240" w:lineRule="auto"/>
        <w:jc w:val="center"/>
        <w:rPr>
          <w:rStyle w:val="BodyTextChar"/>
        </w:rPr>
      </w:pPr>
      <w:r w:rsidRPr="00503BB1">
        <w:rPr>
          <w:noProof/>
        </w:rPr>
        <w:drawing>
          <wp:inline distT="0" distB="0" distL="0" distR="0" wp14:anchorId="6B40F63F" wp14:editId="3633C6D9">
            <wp:extent cx="539750" cy="554355"/>
            <wp:effectExtent l="0" t="0" r="0" b="0"/>
            <wp:docPr id="1233369045" name="Picture 4"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69045" name="Picture 4" descr="A logo with text on it&#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 cy="554355"/>
                    </a:xfrm>
                    <a:prstGeom prst="rect">
                      <a:avLst/>
                    </a:prstGeom>
                    <a:noFill/>
                  </pic:spPr>
                </pic:pic>
              </a:graphicData>
            </a:graphic>
          </wp:inline>
        </w:drawing>
      </w:r>
    </w:p>
    <w:p w14:paraId="5DE0075B" w14:textId="77777777" w:rsidR="002F1795" w:rsidRPr="00503BB1" w:rsidRDefault="002F1795" w:rsidP="002F1795">
      <w:pPr>
        <w:pStyle w:val="BodyText"/>
        <w:spacing w:after="40" w:line="240" w:lineRule="auto"/>
        <w:jc w:val="center"/>
        <w:rPr>
          <w:rStyle w:val="BodyTextChar"/>
        </w:rPr>
      </w:pPr>
    </w:p>
    <w:p w14:paraId="021F575C" w14:textId="4727D43F" w:rsidR="00B07978" w:rsidRPr="00503BB1" w:rsidRDefault="002F1795" w:rsidP="00B07978">
      <w:pPr>
        <w:pStyle w:val="BodyText"/>
        <w:spacing w:after="560" w:line="240" w:lineRule="auto"/>
        <w:rPr>
          <w:rStyle w:val="BodyTextChar"/>
          <w:sz w:val="36"/>
          <w:szCs w:val="36"/>
        </w:rPr>
      </w:pPr>
      <w:r w:rsidRPr="00503BB1">
        <w:rPr>
          <w:rStyle w:val="BodyTextChar"/>
          <w:sz w:val="36"/>
          <w:szCs w:val="36"/>
        </w:rPr>
        <w:t xml:space="preserve">Tradukshon di: </w:t>
      </w:r>
      <w:r w:rsidR="00237889" w:rsidRPr="00237889">
        <w:rPr>
          <w:rStyle w:val="BodyTextChar"/>
          <w:sz w:val="36"/>
          <w:szCs w:val="36"/>
        </w:rPr>
        <w:t>Konseho tokante di e kuenta anual 2025 di Boneiru</w:t>
      </w:r>
    </w:p>
    <w:p w14:paraId="66F4BFF6" w14:textId="6283FA22" w:rsidR="005C3DF5" w:rsidRPr="00503BB1" w:rsidRDefault="002F1795" w:rsidP="00B07978">
      <w:pPr>
        <w:pStyle w:val="BodyText"/>
        <w:spacing w:after="560" w:line="240" w:lineRule="auto"/>
      </w:pPr>
      <w:r w:rsidRPr="00503BB1">
        <w:rPr>
          <w:noProof/>
        </w:rPr>
        <mc:AlternateContent>
          <mc:Choice Requires="wps">
            <w:drawing>
              <wp:anchor distT="0" distB="0" distL="114300" distR="114300" simplePos="0" relativeHeight="251659264" behindDoc="0" locked="0" layoutInCell="1" allowOverlap="1" wp14:anchorId="5B06C506" wp14:editId="22017B3F">
                <wp:simplePos x="0" y="0"/>
                <wp:positionH relativeFrom="column">
                  <wp:posOffset>-104775</wp:posOffset>
                </wp:positionH>
                <wp:positionV relativeFrom="paragraph">
                  <wp:posOffset>474980</wp:posOffset>
                </wp:positionV>
                <wp:extent cx="5991860" cy="731520"/>
                <wp:effectExtent l="0" t="0" r="27940" b="11430"/>
                <wp:wrapNone/>
                <wp:docPr id="1694032882" name="Rectangle 3"/>
                <wp:cNvGraphicFramePr/>
                <a:graphic xmlns:a="http://schemas.openxmlformats.org/drawingml/2006/main">
                  <a:graphicData uri="http://schemas.microsoft.com/office/word/2010/wordprocessingShape">
                    <wps:wsp>
                      <wps:cNvSpPr/>
                      <wps:spPr>
                        <a:xfrm>
                          <a:off x="0" y="0"/>
                          <a:ext cx="5991860" cy="731520"/>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FB3622" id="Rectangle 3" o:spid="_x0000_s1026" style="position:absolute;margin-left:-8.25pt;margin-top:37.4pt;width:471.8pt;height:57.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" filled="f" strokecolor="black [3200]"/>
            </w:pict>
          </mc:Fallback>
        </mc:AlternateContent>
      </w:r>
      <w:r w:rsidRPr="00503BB1">
        <w:t xml:space="preserve">Título original: </w:t>
      </w:r>
      <w:r w:rsidR="00237889" w:rsidRPr="00237889">
        <w:t>Advies bij de jaarrekening 2025 Bonaire</w:t>
      </w:r>
    </w:p>
    <w:p w14:paraId="4699E6A5" w14:textId="7D2A0E47" w:rsidR="002F1795" w:rsidRPr="00503BB1" w:rsidRDefault="002F1795" w:rsidP="002F1795">
      <w:pPr>
        <w:pStyle w:val="BodyText"/>
      </w:pPr>
      <w:r w:rsidRPr="00503BB1">
        <w:rPr>
          <w:i/>
          <w:iCs/>
        </w:rPr>
        <w:t xml:space="preserve">Den kaso di diferensianan di interpretashon entre e tradukshon na papiamentu i e vershon hulandes di e </w:t>
      </w:r>
      <w:r w:rsidR="00306AAB" w:rsidRPr="00503BB1">
        <w:rPr>
          <w:i/>
          <w:iCs/>
        </w:rPr>
        <w:t>teksto</w:t>
      </w:r>
      <w:r w:rsidRPr="00503BB1">
        <w:rPr>
          <w:i/>
          <w:iCs/>
        </w:rPr>
        <w:t>, òf den kaso di proseduranan hudisial òf trayektonan di eskalashon enbirtut di regulashonnan aplikabel, e vershon original hulandes semper ta esun preferente.</w:t>
      </w:r>
    </w:p>
    <w:p w14:paraId="5179C41A" w14:textId="0F0D000E" w:rsidR="002F1795" w:rsidRPr="00503BB1" w:rsidRDefault="002F1795">
      <w:pPr>
        <w:pStyle w:val="BodyText"/>
      </w:pPr>
    </w:p>
    <w:p w14:paraId="22CA23A5" w14:textId="77777777" w:rsidR="00237889" w:rsidRDefault="00205AC2" w:rsidP="00237889">
      <w:pPr>
        <w:pStyle w:val="BodyText"/>
        <w:spacing w:after="0"/>
      </w:pPr>
      <w:r>
        <w:t>Apresiabel señor Soliano,</w:t>
      </w:r>
    </w:p>
    <w:p w14:paraId="568468B8" w14:textId="77777777" w:rsidR="00BF0AE2" w:rsidRDefault="00BF0AE2" w:rsidP="00237889">
      <w:pPr>
        <w:pStyle w:val="BodyText"/>
        <w:spacing w:after="0"/>
      </w:pPr>
    </w:p>
    <w:p w14:paraId="6BD9CB03" w14:textId="66A4D113" w:rsidR="00237889" w:rsidRDefault="00237889" w:rsidP="00237889">
      <w:pPr>
        <w:pStyle w:val="BodyText"/>
        <w:spacing w:after="0"/>
      </w:pPr>
      <w:r w:rsidRPr="00237889">
        <w:t>Riba 2 di yüli 2026, Kolegio di supervishon finansiero di Boneiru, Sint Eustatius i Saba (Cft), konforme artíkulo 31 insiso 1 di e Lei di Finansas Entidat Públiko Boneiru, Sint Eustatius i Saba (</w:t>
      </w:r>
      <w:r w:rsidRPr="00BF0AE2">
        <w:rPr>
          <w:i/>
          <w:iCs/>
        </w:rPr>
        <w:t>Wet financiën openbare lichamen Bonaire, Sint Eustatius en Saba</w:t>
      </w:r>
      <w:r w:rsidRPr="00237889">
        <w:t xml:space="preserve"> </w:t>
      </w:r>
      <w:r w:rsidR="00BF0AE2">
        <w:t>–</w:t>
      </w:r>
      <w:r w:rsidRPr="00237889">
        <w:t xml:space="preserve"> Lei FinBES), a </w:t>
      </w:r>
      <w:r w:rsidR="00BF0AE2">
        <w:t>risibí</w:t>
      </w:r>
      <w:r w:rsidRPr="00237889">
        <w:t xml:space="preserve"> e kuenta anual 2025 di e Entidat Públiko Boneiru (OLB), huntu ku e informe di e ouditor i e deklarashon di kontrol. Ku e karta aki señor Soliano ta risibí e konseho di Cft tokante di e kuenta anual 2025. </w:t>
      </w:r>
    </w:p>
    <w:p w14:paraId="40E3A081" w14:textId="77777777" w:rsidR="00BF0AE2" w:rsidRDefault="00BF0AE2" w:rsidP="00237889">
      <w:pPr>
        <w:pStyle w:val="BodyText"/>
        <w:spacing w:after="0"/>
      </w:pPr>
    </w:p>
    <w:p w14:paraId="6932AAAB" w14:textId="30B23D3A" w:rsidR="00237889" w:rsidRPr="00BF0AE2" w:rsidRDefault="00237889" w:rsidP="00237889">
      <w:pPr>
        <w:pStyle w:val="BodyText"/>
        <w:spacing w:after="0"/>
        <w:rPr>
          <w:b/>
          <w:bCs/>
        </w:rPr>
      </w:pPr>
      <w:r w:rsidRPr="00BF0AE2">
        <w:rPr>
          <w:b/>
          <w:bCs/>
        </w:rPr>
        <w:t>Konklushon</w:t>
      </w:r>
    </w:p>
    <w:p w14:paraId="2A6FF3FE" w14:textId="77777777" w:rsidR="00237889" w:rsidRDefault="00237889" w:rsidP="00237889">
      <w:pPr>
        <w:pStyle w:val="BodyText"/>
        <w:spacing w:after="0"/>
      </w:pPr>
      <w:r w:rsidRPr="00237889">
        <w:t>E kuenta anual 2025 ta mustra un resultado positivo di USD 6,5 mion. A emití un deklarashon aprobatorio pa e kuenta anual, tantu pa eksaktitut komo pa legitimidat. E aña aki, no tabata tin mester di un prosedura di indemnidat, i Cft ta apresiá e progreso aki. Esaki tambe ta konta pa e echo ku e reservanan aloká no a sigui krese. Na mes momentu, Cft ta señalá puntonan di atenshon riba e área di maneho finansiero, e kapasidat di resistensia i e posishon di likides. Ainda ta falta un polítika di partisipashonnan. Banda di esaki, e aña aki no por a evaluá e norma di gastu di interes, pasobra CBS ainda no a determiná e sektor kolektivo.</w:t>
      </w:r>
    </w:p>
    <w:p w14:paraId="5308922C" w14:textId="77777777" w:rsidR="00BF0AE2" w:rsidRDefault="00BF0AE2" w:rsidP="00237889">
      <w:pPr>
        <w:pStyle w:val="BodyText"/>
        <w:spacing w:after="0"/>
      </w:pPr>
    </w:p>
    <w:p w14:paraId="1B09B223" w14:textId="28E42267" w:rsidR="00BF0AE2" w:rsidRPr="00BF0AE2" w:rsidRDefault="00237889" w:rsidP="00237889">
      <w:pPr>
        <w:pStyle w:val="BodyText"/>
        <w:spacing w:after="0"/>
        <w:rPr>
          <w:b/>
          <w:bCs/>
        </w:rPr>
      </w:pPr>
      <w:r w:rsidRPr="00BF0AE2">
        <w:rPr>
          <w:b/>
          <w:bCs/>
        </w:rPr>
        <w:t>Pasonan siguiente</w:t>
      </w:r>
    </w:p>
    <w:p w14:paraId="1C36EBFF" w14:textId="779144CF" w:rsidR="00237889" w:rsidRDefault="00237889" w:rsidP="00237889">
      <w:pPr>
        <w:pStyle w:val="BodyText"/>
        <w:spacing w:after="0"/>
      </w:pPr>
      <w:r w:rsidRPr="00237889">
        <w:t>Cft ta pidi boso:</w:t>
      </w:r>
    </w:p>
    <w:p w14:paraId="056B2026" w14:textId="77777777" w:rsidR="00BF0AE2" w:rsidRDefault="00237889" w:rsidP="00237889">
      <w:pPr>
        <w:pStyle w:val="BodyText"/>
        <w:numPr>
          <w:ilvl w:val="0"/>
          <w:numId w:val="28"/>
        </w:numPr>
        <w:spacing w:after="0"/>
        <w:ind w:left="360"/>
      </w:pPr>
      <w:r w:rsidRPr="00237889">
        <w:t>Pa duna siguimentu na e rekomendashonnan duná pa e ouditor riba e área di maneho finansiero i legalidat, ku atenshon adishonal pa e mehorashon di e konfiabilidat di e informenan di implementashon. Cft lo ke risibí e plan pa esaki pa mas tardá ku e di tres informe di implementashon 2026.</w:t>
      </w:r>
    </w:p>
    <w:p w14:paraId="44AA0CD0" w14:textId="77777777" w:rsidR="00BF0AE2" w:rsidRDefault="00237889" w:rsidP="00237889">
      <w:pPr>
        <w:pStyle w:val="BodyText"/>
        <w:numPr>
          <w:ilvl w:val="0"/>
          <w:numId w:val="28"/>
        </w:numPr>
        <w:spacing w:after="0"/>
        <w:ind w:left="360"/>
      </w:pPr>
      <w:r w:rsidRPr="00237889">
        <w:t>Pa ekspandé e lista di riesgonan finansiero den e presupuesto 2027 ku e riesgonan di e Woondeal, di posibel trabounan di sanashon adishonal den e terenonan BOPEC, i di desaroyonan geopolítiko.</w:t>
      </w:r>
    </w:p>
    <w:p w14:paraId="4DE3EC3E" w14:textId="77777777" w:rsidR="00BF0AE2" w:rsidRDefault="00237889" w:rsidP="00237889">
      <w:pPr>
        <w:pStyle w:val="BodyText"/>
        <w:numPr>
          <w:ilvl w:val="0"/>
          <w:numId w:val="28"/>
        </w:numPr>
        <w:spacing w:after="0"/>
        <w:ind w:left="360"/>
      </w:pPr>
      <w:r w:rsidRPr="00237889">
        <w:t>Pa den e presupuesto 2027 redaktá un pronóstiko di likides ku ta permití pa manehá e posishon di likides durante e aña.</w:t>
      </w:r>
    </w:p>
    <w:p w14:paraId="0D91721E" w14:textId="77777777" w:rsidR="00BF0AE2" w:rsidRDefault="00237889" w:rsidP="00237889">
      <w:pPr>
        <w:pStyle w:val="BodyText"/>
        <w:numPr>
          <w:ilvl w:val="0"/>
          <w:numId w:val="28"/>
        </w:numPr>
        <w:spacing w:after="0"/>
        <w:ind w:left="360"/>
      </w:pPr>
      <w:r w:rsidRPr="00237889">
        <w:t>Pa kompartí e inventarisashon di e reservanan aloká, pa mas tardá den e di tres informe di implementashon 2026, i pa inkorporá e resultadonan den e presupuesto 2027.</w:t>
      </w:r>
    </w:p>
    <w:p w14:paraId="24AD3632" w14:textId="3F1B18C1" w:rsidR="00237889" w:rsidRDefault="00237889" w:rsidP="00237889">
      <w:pPr>
        <w:pStyle w:val="BodyText"/>
        <w:numPr>
          <w:ilvl w:val="0"/>
          <w:numId w:val="28"/>
        </w:numPr>
        <w:spacing w:after="0"/>
        <w:ind w:left="360"/>
      </w:pPr>
      <w:r w:rsidRPr="00237889">
        <w:t>Pa aneksá e datonan finansiero di mas resien di e entidatnan den e sektor kolektivo na e kuenta anual 2026, pa Cft por evaluá e norma di gastu di interes.</w:t>
      </w:r>
    </w:p>
    <w:p w14:paraId="14A43ABB" w14:textId="77777777" w:rsidR="00BF0AE2" w:rsidRDefault="00BF0AE2" w:rsidP="00237889">
      <w:pPr>
        <w:pStyle w:val="BodyText"/>
        <w:spacing w:after="0"/>
      </w:pPr>
    </w:p>
    <w:p w14:paraId="15BFE941" w14:textId="1FD39FC0" w:rsidR="00237889" w:rsidRPr="00BF0AE2" w:rsidRDefault="00237889" w:rsidP="00237889">
      <w:pPr>
        <w:pStyle w:val="BodyText"/>
        <w:spacing w:after="0"/>
        <w:rPr>
          <w:b/>
          <w:bCs/>
        </w:rPr>
      </w:pPr>
      <w:r w:rsidRPr="00BF0AE2">
        <w:rPr>
          <w:b/>
          <w:bCs/>
        </w:rPr>
        <w:t>Splikashon</w:t>
      </w:r>
    </w:p>
    <w:p w14:paraId="3F04629A" w14:textId="77777777" w:rsidR="00BF0AE2" w:rsidRDefault="00BF0AE2" w:rsidP="00237889">
      <w:pPr>
        <w:pStyle w:val="BodyText"/>
        <w:spacing w:after="0"/>
      </w:pPr>
    </w:p>
    <w:p w14:paraId="188F4737" w14:textId="7B6DD153" w:rsidR="00237889" w:rsidRPr="00BF0AE2" w:rsidRDefault="00237889" w:rsidP="00237889">
      <w:pPr>
        <w:pStyle w:val="BodyText"/>
        <w:spacing w:after="0"/>
        <w:rPr>
          <w:u w:val="single"/>
        </w:rPr>
      </w:pPr>
      <w:r w:rsidRPr="00BF0AE2">
        <w:rPr>
          <w:u w:val="single"/>
        </w:rPr>
        <w:t>Resultado</w:t>
      </w:r>
    </w:p>
    <w:p w14:paraId="3D0F5EEF" w14:textId="025ED033" w:rsidR="00237889" w:rsidRDefault="00237889" w:rsidP="00237889">
      <w:pPr>
        <w:pStyle w:val="BodyText"/>
        <w:spacing w:after="0"/>
      </w:pPr>
      <w:r w:rsidRPr="00237889">
        <w:t xml:space="preserve">Na 2025, Boneiru ta realisá un resultado positivo di USD 6,5 mion (na 2024 esaki tabata USD 1,3 mion), kompará ku un resultado presupuestá di aproksimadamente sero. E resultado positivo no ta debí na e echo ku e aña aki a gasta ménos òf a drenta mas di loke a planiá </w:t>
      </w:r>
      <w:r w:rsidR="00BF0AE2">
        <w:t>–</w:t>
      </w:r>
      <w:r w:rsidRPr="00237889">
        <w:t xml:space="preserve"> e ta debí na e echo ku e aña aki a gasta sèn ku a apartá ya kaba den añanan anterior. A agregá e resultado den su totalidat na e reservanan aloká den e di dos modifikashon presupuestario stipulá 2026.</w:t>
      </w:r>
      <w:r>
        <w:rPr>
          <w:rStyle w:val="EndnoteReference"/>
        </w:rPr>
        <w:endnoteReference w:id="1"/>
      </w:r>
      <w:r w:rsidRPr="00237889">
        <w:t xml:space="preserve"> A destiná e parti mas grandi (USD 5 mion) na un invershon pa garantisá maneho di desecho adekuá, a base di akuerdonan ku a establesé den e addendum na e akuerdo atministrativo "Kolaborashon Enfoke Selibon Lagun" di yüni 2026. A distribuí e sobrá parti di USD 1,4 mion riba partidanan mas chikitu, inkluyendo e biblioteka, kombatimentu di pobresa i fortalesementu di maneho finansiero.</w:t>
      </w:r>
    </w:p>
    <w:p w14:paraId="5A2DEA1A" w14:textId="77777777" w:rsidR="00237889" w:rsidRPr="00BF0AE2" w:rsidRDefault="00237889" w:rsidP="00237889">
      <w:pPr>
        <w:pStyle w:val="BodyText"/>
        <w:spacing w:after="0"/>
        <w:rPr>
          <w:u w:val="single"/>
        </w:rPr>
      </w:pPr>
      <w:r w:rsidRPr="00BF0AE2">
        <w:rPr>
          <w:u w:val="single"/>
        </w:rPr>
        <w:lastRenderedPageBreak/>
        <w:t>Maneho finansiero</w:t>
      </w:r>
    </w:p>
    <w:p w14:paraId="7BD1D146" w14:textId="71093290" w:rsidR="00237889" w:rsidRDefault="00237889" w:rsidP="00237889">
      <w:pPr>
        <w:pStyle w:val="BodyText"/>
        <w:spacing w:after="0"/>
      </w:pPr>
      <w:r w:rsidRPr="00237889">
        <w:t xml:space="preserve">Ta positivo ku e aña aki OLB a logra pa yega na un deklarashon aprobatorio pa eksaktitut i legitimidat, na tempu i sin nesesidat di un prosedura di indemnidat. E gastunan ilísito tabata USD 0,5 mion, loke ta nifiká ku nan tabata kai ampliamente den e márgen di eror aseptá di USD 1,7 mion. OLB a entregá informashon adishonal na Cft tokante di e medidanan pa evitá e tipo di desviashonnan aki den futuro. Riba e área di legitimidat, e ouditor ta insistí prinsipalmente riba mas esfuersonan pa kobra impuestonan (lokal), manera por ehèmpel den e kaso di aanslagnan pa impuesto riba tereno. Banda di esaki, ainda no a solushoná e kuestion di e Impuesto riba Konsumo General (Algemene Bestedingsbelasting </w:t>
      </w:r>
      <w:r w:rsidR="001E5F51">
        <w:t>–</w:t>
      </w:r>
      <w:r w:rsidRPr="00237889">
        <w:t xml:space="preserve"> ABB) trasladá, ounke OLB ta antisipá ku lo implementá un solushon pa esaki na 2026.</w:t>
      </w:r>
      <w:r>
        <w:rPr>
          <w:rStyle w:val="EndnoteReference"/>
        </w:rPr>
        <w:endnoteReference w:id="2"/>
      </w:r>
    </w:p>
    <w:p w14:paraId="1E56DC8B" w14:textId="77777777" w:rsidR="00BF0AE2" w:rsidRDefault="00BF0AE2" w:rsidP="00237889">
      <w:pPr>
        <w:pStyle w:val="BodyText"/>
        <w:spacing w:after="0"/>
      </w:pPr>
    </w:p>
    <w:p w14:paraId="137F1B7B" w14:textId="264774C1" w:rsidR="00237889" w:rsidRDefault="00237889" w:rsidP="00237889">
      <w:pPr>
        <w:pStyle w:val="BodyText"/>
        <w:spacing w:after="0"/>
      </w:pPr>
      <w:r w:rsidRPr="00237889">
        <w:t>Ademas, e informe di e ouditor ta mustra ku reportahe finansiero ainda no ta riba e nivel deseá; e ouditor ta enfatisá ku tabata tin mester di hopi esfuersonan adishonal i korekshonnan pa por stipulá e kuenta anual na tempu. E imágen aki ta kuadra ku e hayasgonan anterior di Cft tokante sobretodo e di kuater informenan di implementashon di 2024 i 2025. Kompará ku e presupuesto di 2025 (inkluyendo e modifikashonnan) e realisashon di 2025 ta yega na 85% na e banda di gastunan i 88% na e banda di ingresonan — komparabel ku 2024 (88% i 89%, respektivamente). Sinembargo, e sifranan di realisashon aki ta desviá supstansialmente di e informashon ku tabata disponibel pa medio di e di kuater informe di implementashon durante e aña. Debí na esaki, Cft ta duda si durante e aña presupuestario tabata tin sufisiente informashon konfiabel disponibel pa hasi modifikashonnan na tempu, i ta pidi OLB pa reportá eksplísitamente tokante di e mehorashonnan proyektá den e di tres informe di implementashon 2026.</w:t>
      </w:r>
    </w:p>
    <w:p w14:paraId="089B5707" w14:textId="77777777" w:rsidR="00BF0AE2" w:rsidRDefault="00BF0AE2" w:rsidP="00237889">
      <w:pPr>
        <w:pStyle w:val="BodyText"/>
        <w:spacing w:after="0"/>
      </w:pPr>
    </w:p>
    <w:p w14:paraId="409F4F1A" w14:textId="05577E77" w:rsidR="00237889" w:rsidRPr="00BF0AE2" w:rsidRDefault="00237889" w:rsidP="00237889">
      <w:pPr>
        <w:pStyle w:val="BodyText"/>
        <w:spacing w:after="0"/>
        <w:rPr>
          <w:u w:val="single"/>
        </w:rPr>
      </w:pPr>
      <w:r w:rsidRPr="00BF0AE2">
        <w:rPr>
          <w:u w:val="single"/>
        </w:rPr>
        <w:t>Kapasidat di resistensia i análisis di riesgo</w:t>
      </w:r>
    </w:p>
    <w:p w14:paraId="3E341B01" w14:textId="4D8E7E69" w:rsidR="00237889" w:rsidRDefault="00237889" w:rsidP="00237889">
      <w:pPr>
        <w:pStyle w:val="BodyText"/>
        <w:spacing w:after="0"/>
      </w:pPr>
      <w:r w:rsidRPr="00237889">
        <w:t>Ta kompará e kapasidat di resistensia (e reserva general i e partida imprevisto) ku e riesgonan pa kua e OLB no a tuma medidanan; e relashon aki ta e kapital di resistensia.</w:t>
      </w:r>
      <w:r w:rsidR="001E5F51">
        <w:t xml:space="preserve"> </w:t>
      </w:r>
      <w:r w:rsidRPr="00237889">
        <w:t>Reservanan aloká no ta konta, pasobra Konseho Insular a destiná e rekursonan aki kaba, pues nan no ta libremente disponibel. E ouditor ta konkluí ku e kapital di resistensia ku un ratio di 1,9 ta mas ku sufisiente. Refiriendo na e karta di e Sekretario di Estado di 28 di febrüari 2024, ademas ta konta ku e kapasidat di resistensia mester ta sufisientemente líkido (límite abou: un ratio di 1,0); ku un saldo libremente disponibel di USD 13,1 mion kompará ku riesgonan identifiká di USD 12,9 mion, OLB ta kumpli ku esaki.</w:t>
      </w:r>
    </w:p>
    <w:p w14:paraId="5373E3DA" w14:textId="77777777" w:rsidR="00BF0AE2" w:rsidRDefault="00BF0AE2" w:rsidP="00237889">
      <w:pPr>
        <w:pStyle w:val="BodyText"/>
        <w:spacing w:after="0"/>
      </w:pPr>
    </w:p>
    <w:p w14:paraId="4F1494F6" w14:textId="7E1226BB" w:rsidR="00237889" w:rsidRDefault="00237889" w:rsidP="00237889">
      <w:pPr>
        <w:pStyle w:val="BodyText"/>
        <w:spacing w:after="0"/>
      </w:pPr>
      <w:r w:rsidRPr="00237889">
        <w:t>Sinembargo, e ouditor ta konstatá ku e lista di riesgonan ku konsekuensianan finansiero ainda no ta kompleto. E ouditor ta mustra riba un riesgo no inkluí tokante di e Woondeal di aproksimadamente USD 39 mion, i ta konsehá OLB pa hasi un análisis di riesgo ekshoustivo promé ku e promé proyekto parsial (Dawari i Rincon) ta kuminsá. Ademas, a inkluí e riesgo riba trabounan di sanashon adishonal riba e terenonan BOPEC — ademas di e trabounan ehekutá pa e Stichting Sanering BOPEC Percelen (SSBP) — den e paragraf di riesgo sin kuantifikashon finansiero. Debí na esaki, e riesgo aki no ta konta pa e kapasidat di resistensia nesesario kalkulá di USD 12,9 mion. Ademas, Cft ta remarká ku respekto di e riesgonan geopolítiko, e paragraf di riesgo aktualmente ta dirigí prinsipalmente riba e kapasidat di empleo di OLB, i spesífikamente esun di GGD/kuido di salú públiko. Segun Cft, por definí e riesgonan finansiero di e situashon geopolítiko aktual mas ampliamente. Por pensa entre otro riba e oumento di preisnan di kombustibel, oumento d</w:t>
      </w:r>
      <w:r w:rsidR="001E5F51">
        <w:t>i</w:t>
      </w:r>
      <w:r w:rsidRPr="00237889">
        <w:t xml:space="preserve"> preisnan di importashon di kuminda i materialnan di konstrukshon, i un posibel bahada den turismo debí na konekshonnan aéreo internashonal strobá.</w:t>
      </w:r>
    </w:p>
    <w:p w14:paraId="2CA7C56D" w14:textId="77777777" w:rsidR="00BF0AE2" w:rsidRDefault="00BF0AE2" w:rsidP="00237889">
      <w:pPr>
        <w:pStyle w:val="BodyText"/>
        <w:spacing w:after="0"/>
      </w:pPr>
    </w:p>
    <w:p w14:paraId="47CFEAB2" w14:textId="1FF8F3A5" w:rsidR="00237889" w:rsidRPr="00BF0AE2" w:rsidRDefault="00237889" w:rsidP="00237889">
      <w:pPr>
        <w:pStyle w:val="BodyText"/>
        <w:spacing w:after="0"/>
        <w:rPr>
          <w:u w:val="single"/>
        </w:rPr>
      </w:pPr>
      <w:r w:rsidRPr="00BF0AE2">
        <w:rPr>
          <w:u w:val="single"/>
        </w:rPr>
        <w:t>Posishon di likides</w:t>
      </w:r>
    </w:p>
    <w:p w14:paraId="4901FAB4" w14:textId="2CF9D09A" w:rsidR="00237889" w:rsidRPr="00237889" w:rsidRDefault="00237889" w:rsidP="00237889">
      <w:pPr>
        <w:pStyle w:val="BodyText"/>
        <w:spacing w:after="0"/>
      </w:pPr>
      <w:r w:rsidRPr="00237889">
        <w:t xml:space="preserve">E ratio di likides di OLB a bolbe baha: di 1,21 na 2024 te 1,06 na 2025. Asta si deskonsiderá e pagonan spesial ku ainda mester gasta, e ratio ta baha konsiderablemente: di 1,60 te 1,18. Esaki ta mustra ku e deterioro no ta solamente konsekuensia di e kontinuashon (temporal) di e rekursonan BU ku ainda no a gasta, </w:t>
      </w:r>
      <w:r w:rsidR="001E5F51">
        <w:t>sino</w:t>
      </w:r>
      <w:r w:rsidRPr="00237889">
        <w:t xml:space="preserve"> ta indiká ku tin un bahada real di e rekursonan koriente libremente disponibel di OLB mes. Konsiderando e rekisito ku e kapasidat di resistensia mester ta sufisientemente líkido, OLB lo mester manehá su posishon di likides mas estriktamente. Di informashon mas detayá, Cft ta komprondé ku OLB tin intenshon pa inisiá un pronóstiko di likides for di e proyekto presupuestario 2027, i pa reportá tokante di esaki den kada informe di implementashon. Cft ta haña ku maneho adekuá di esaki ta esensial pa e tareanan di finansiamentu di e añanan benidero.</w:t>
      </w:r>
    </w:p>
    <w:p w14:paraId="6BFBAC1F" w14:textId="77777777" w:rsidR="00237889" w:rsidRPr="00BF0AE2" w:rsidRDefault="00237889" w:rsidP="00237889">
      <w:pPr>
        <w:pStyle w:val="Heading20"/>
        <w:keepNext/>
        <w:keepLines/>
        <w:rPr>
          <w:b w:val="0"/>
          <w:bCs w:val="0"/>
          <w:u w:val="single"/>
        </w:rPr>
      </w:pPr>
      <w:r w:rsidRPr="00BF0AE2">
        <w:rPr>
          <w:b w:val="0"/>
          <w:bCs w:val="0"/>
          <w:u w:val="single"/>
        </w:rPr>
        <w:lastRenderedPageBreak/>
        <w:t>Reserva aloká</w:t>
      </w:r>
    </w:p>
    <w:p w14:paraId="31070E35" w14:textId="77777777" w:rsidR="00237889" w:rsidRPr="00237889" w:rsidRDefault="00237889" w:rsidP="00237889">
      <w:pPr>
        <w:pStyle w:val="Heading20"/>
        <w:keepNext/>
        <w:keepLines/>
        <w:rPr>
          <w:b w:val="0"/>
          <w:bCs w:val="0"/>
        </w:rPr>
      </w:pPr>
      <w:r w:rsidRPr="00237889">
        <w:rPr>
          <w:b w:val="0"/>
          <w:bCs w:val="0"/>
        </w:rPr>
        <w:t>Miéntras ku e último añanan e reservanan aloká a krese konsiderablemente (di USD 44,3 mion na final di 2022 te USD 84,0 mion na final di 2024), na 2025 e kresementu aki a stòp (USD 84,1 mion na final di 2025). Meskos ku e splikashon mehorá di e mutashonnan di reserva den a kuenta anual, Cft ta haña ku esaki ta un desaroyo positivo. Cft sí ta remarká ku un parti konsiderabel di e reservanan aloká no ta libremente disponibel. Por ehèmpel, e reserva aloká partisipashonnan (USD 25 mion) ta limitá, pasobra e ta reflehá solamente e balorashon di e partisipashon BIA, i ta wòrdu liberá ora BIA hasi un pago di dividènt numa, ku te awor no a tuma lugá ainda. E reserva aloká depresiashonnan (USD 33 mion) tampoko ta libremente disponibel debí na su naturalesa; esaki ta sirbi eksklusivamente pa kubri gastunan di kapital futuro riba invershonnan ku a hasi kaba.</w:t>
      </w:r>
    </w:p>
    <w:p w14:paraId="30F91911" w14:textId="77777777" w:rsidR="00BF0AE2" w:rsidRDefault="00BF0AE2" w:rsidP="00237889">
      <w:pPr>
        <w:pStyle w:val="Heading20"/>
        <w:keepNext/>
        <w:keepLines/>
        <w:rPr>
          <w:b w:val="0"/>
          <w:bCs w:val="0"/>
        </w:rPr>
      </w:pPr>
    </w:p>
    <w:p w14:paraId="76B8E549" w14:textId="3B4DC130" w:rsidR="00237889" w:rsidRPr="00237889" w:rsidRDefault="00237889" w:rsidP="00237889">
      <w:pPr>
        <w:pStyle w:val="Heading20"/>
        <w:keepNext/>
        <w:keepLines/>
        <w:rPr>
          <w:b w:val="0"/>
          <w:bCs w:val="0"/>
        </w:rPr>
      </w:pPr>
      <w:r w:rsidRPr="00237889">
        <w:rPr>
          <w:b w:val="0"/>
          <w:bCs w:val="0"/>
        </w:rPr>
        <w:t>Cft ta komprondé ku aktualmente ta trahando riba un inventarisashon den kua ta stipulá kuadronan tambe, i ta antisipá esaki den e di tres informe di implementashon 2026. Cft ta kontentu ku e duna òrdu pa hasi esaki, konsiderando e echo ku esaki tabata parti tambe di e konseho emití pa Cft tokante di e kuenta anual 2024, i ta antisipá ku e inventarisashon aki lo yuda OLB pa evaluá si e reservanan aloká sobrante ainda ta kuadra ku nan finnan original, i empleá e reservanan mihó pa e tareanan grandi di finansiamentu di e añanan benidero.</w:t>
      </w:r>
    </w:p>
    <w:p w14:paraId="3A549FD1" w14:textId="77777777" w:rsidR="00BF0AE2" w:rsidRDefault="00BF0AE2" w:rsidP="00237889">
      <w:pPr>
        <w:pStyle w:val="Heading20"/>
        <w:keepNext/>
        <w:keepLines/>
        <w:rPr>
          <w:b w:val="0"/>
          <w:bCs w:val="0"/>
        </w:rPr>
      </w:pPr>
    </w:p>
    <w:p w14:paraId="2E412026" w14:textId="5F4377B7" w:rsidR="00237889" w:rsidRPr="00BF0AE2" w:rsidRDefault="00237889" w:rsidP="00237889">
      <w:pPr>
        <w:pStyle w:val="Heading20"/>
        <w:keepNext/>
        <w:keepLines/>
        <w:rPr>
          <w:b w:val="0"/>
          <w:bCs w:val="0"/>
          <w:u w:val="single"/>
        </w:rPr>
      </w:pPr>
      <w:r w:rsidRPr="00BF0AE2">
        <w:rPr>
          <w:b w:val="0"/>
          <w:bCs w:val="0"/>
          <w:u w:val="single"/>
        </w:rPr>
        <w:t>Polítika di partisipashonnan</w:t>
      </w:r>
    </w:p>
    <w:p w14:paraId="137B2ABF" w14:textId="77777777" w:rsidR="00237889" w:rsidRPr="00237889" w:rsidRDefault="00237889" w:rsidP="00237889">
      <w:pPr>
        <w:pStyle w:val="Heading20"/>
        <w:keepNext/>
        <w:keepLines/>
        <w:rPr>
          <w:b w:val="0"/>
          <w:bCs w:val="0"/>
        </w:rPr>
      </w:pPr>
      <w:r w:rsidRPr="00237889">
        <w:rPr>
          <w:b w:val="0"/>
          <w:bCs w:val="0"/>
        </w:rPr>
        <w:t>E kuenta anual ta destaká tres partisipashonnan: Selibon N.V., ku riesgonan operashonal i finansiero konsiderabel; Tourism Corporation Bonaire N.V., di kua a emití un deklarashon di kòntròl ku limitashon i un paragraf di kontinuidat; i Oil Trading Bonaire N.V., den kua na 2025 OLB a depositá USD 2,5 mion na agio pa fortalesé su posishon di kapital. Pa vários aña kaba, Cft i e ouditor ta konsehando OLB pa redaktá un polítika di partisipashonnan, inkluyendo un polítika di dividènt formal i fortalesementu di e struktura di governance denter i rondó di e entidatnan. Cft ta komprondé ku e aña aki a inisiá un proyekto pa tur Entidat Públiko pa duna forma na e polítika di partisipashonnan aki.</w:t>
      </w:r>
    </w:p>
    <w:p w14:paraId="6DC7F9C1" w14:textId="77777777" w:rsidR="00BF0AE2" w:rsidRDefault="00BF0AE2" w:rsidP="00237889">
      <w:pPr>
        <w:pStyle w:val="Heading20"/>
        <w:keepNext/>
        <w:keepLines/>
        <w:rPr>
          <w:b w:val="0"/>
          <w:bCs w:val="0"/>
        </w:rPr>
      </w:pPr>
    </w:p>
    <w:p w14:paraId="7723AC2A" w14:textId="4C5047E6" w:rsidR="00237889" w:rsidRPr="00BF0AE2" w:rsidRDefault="00237889" w:rsidP="00237889">
      <w:pPr>
        <w:pStyle w:val="Heading20"/>
        <w:keepNext/>
        <w:keepLines/>
        <w:rPr>
          <w:b w:val="0"/>
          <w:bCs w:val="0"/>
          <w:u w:val="single"/>
        </w:rPr>
      </w:pPr>
      <w:r w:rsidRPr="00BF0AE2">
        <w:rPr>
          <w:b w:val="0"/>
          <w:bCs w:val="0"/>
          <w:u w:val="single"/>
        </w:rPr>
        <w:t>Norma di gastu di interes</w:t>
      </w:r>
    </w:p>
    <w:p w14:paraId="2E90ABBD" w14:textId="77777777" w:rsidR="00237889" w:rsidRPr="00237889" w:rsidRDefault="00237889" w:rsidP="00237889">
      <w:pPr>
        <w:pStyle w:val="Heading20"/>
        <w:keepNext/>
        <w:keepLines/>
        <w:rPr>
          <w:b w:val="0"/>
          <w:bCs w:val="0"/>
        </w:rPr>
      </w:pPr>
      <w:r w:rsidRPr="00237889">
        <w:rPr>
          <w:b w:val="0"/>
          <w:bCs w:val="0"/>
        </w:rPr>
        <w:t>No a evaluá e kuenta anual 2025 segun e norma di gastu di interes, komo ku no a determiná e sektor kolektivo. Cft ta komprondé ku Centraal Bureau voor de Statistiek (CBS) lo determiná e sektor kolektivo pa 2025 e aña aki mes. E determinashon tin un balides di tres aña, pues ta antisipá ku por evaluá e norma di gastu di interes pa e kuenta anual 2026. P'esei, Cft ta pidi OLB pa aneksá e datonan finansiero di e entidatnan di e sektor kolektivo na e kuenta anual 2026.</w:t>
      </w:r>
    </w:p>
    <w:p w14:paraId="2B043202" w14:textId="77777777" w:rsidR="00BF0AE2" w:rsidRDefault="00BF0AE2" w:rsidP="00237889">
      <w:pPr>
        <w:pStyle w:val="Heading20"/>
        <w:keepNext/>
        <w:keepLines/>
        <w:rPr>
          <w:b w:val="0"/>
          <w:bCs w:val="0"/>
        </w:rPr>
      </w:pPr>
    </w:p>
    <w:p w14:paraId="7F193B76" w14:textId="3EE324B6" w:rsidR="00237889" w:rsidRPr="00237889" w:rsidRDefault="00237889" w:rsidP="00237889">
      <w:pPr>
        <w:pStyle w:val="Heading20"/>
        <w:keepNext/>
        <w:keepLines/>
        <w:rPr>
          <w:b w:val="0"/>
          <w:bCs w:val="0"/>
        </w:rPr>
      </w:pPr>
      <w:r w:rsidRPr="00237889">
        <w:rPr>
          <w:b w:val="0"/>
          <w:bCs w:val="0"/>
        </w:rPr>
        <w:t>Mi ta spera di a informá boso sufisientemente.</w:t>
      </w:r>
    </w:p>
    <w:p w14:paraId="10217815" w14:textId="77777777" w:rsidR="00BF0AE2" w:rsidRDefault="00BF0AE2" w:rsidP="00237889">
      <w:pPr>
        <w:pStyle w:val="Heading20"/>
        <w:keepNext/>
        <w:keepLines/>
        <w:rPr>
          <w:b w:val="0"/>
          <w:bCs w:val="0"/>
        </w:rPr>
      </w:pPr>
    </w:p>
    <w:p w14:paraId="060B1ADA" w14:textId="5AFF5309" w:rsidR="00237889" w:rsidRPr="00237889" w:rsidRDefault="00237889" w:rsidP="00237889">
      <w:pPr>
        <w:pStyle w:val="Heading20"/>
        <w:keepNext/>
        <w:keepLines/>
        <w:rPr>
          <w:b w:val="0"/>
          <w:bCs w:val="0"/>
        </w:rPr>
      </w:pPr>
      <w:r w:rsidRPr="00237889">
        <w:rPr>
          <w:b w:val="0"/>
          <w:bCs w:val="0"/>
        </w:rPr>
        <w:t>Atentamente,</w:t>
      </w:r>
    </w:p>
    <w:p w14:paraId="7311CFC5" w14:textId="77777777" w:rsidR="00237889" w:rsidRPr="00237889" w:rsidRDefault="00237889" w:rsidP="00237889">
      <w:pPr>
        <w:pStyle w:val="Heading20"/>
        <w:keepNext/>
        <w:keepLines/>
        <w:rPr>
          <w:b w:val="0"/>
          <w:bCs w:val="0"/>
        </w:rPr>
      </w:pPr>
      <w:r w:rsidRPr="00237889">
        <w:rPr>
          <w:b w:val="0"/>
          <w:bCs w:val="0"/>
        </w:rPr>
        <w:t>Presidente di e Kolegio di supervishon finansiero di Boneiru, Sint Eustatius i Saba</w:t>
      </w:r>
    </w:p>
    <w:p w14:paraId="34746D20" w14:textId="77777777" w:rsidR="00BF0AE2" w:rsidRDefault="00BF0AE2" w:rsidP="00237889">
      <w:pPr>
        <w:pStyle w:val="Heading20"/>
        <w:keepNext/>
        <w:keepLines/>
        <w:rPr>
          <w:b w:val="0"/>
          <w:bCs w:val="0"/>
        </w:rPr>
      </w:pPr>
    </w:p>
    <w:p w14:paraId="03A38708" w14:textId="77777777" w:rsidR="00BF0AE2" w:rsidRDefault="00BF0AE2" w:rsidP="00237889">
      <w:pPr>
        <w:pStyle w:val="Heading20"/>
        <w:keepNext/>
        <w:keepLines/>
        <w:rPr>
          <w:b w:val="0"/>
          <w:bCs w:val="0"/>
        </w:rPr>
      </w:pPr>
    </w:p>
    <w:p w14:paraId="4C9022F7" w14:textId="77777777" w:rsidR="00BF0AE2" w:rsidRDefault="00BF0AE2" w:rsidP="00237889">
      <w:pPr>
        <w:pStyle w:val="Heading20"/>
        <w:keepNext/>
        <w:keepLines/>
        <w:rPr>
          <w:b w:val="0"/>
          <w:bCs w:val="0"/>
        </w:rPr>
      </w:pPr>
    </w:p>
    <w:p w14:paraId="48556212" w14:textId="4E55B10C" w:rsidR="00BF0AE2" w:rsidRDefault="00BF0AE2" w:rsidP="00237889">
      <w:pPr>
        <w:pStyle w:val="Heading20"/>
        <w:keepNext/>
        <w:keepLines/>
        <w:rPr>
          <w:b w:val="0"/>
          <w:bCs w:val="0"/>
        </w:rPr>
      </w:pPr>
      <w:r>
        <w:rPr>
          <w:b w:val="0"/>
          <w:bCs w:val="0"/>
        </w:rPr>
        <w:t>[firma]</w:t>
      </w:r>
    </w:p>
    <w:p w14:paraId="0D5CA9B6" w14:textId="509A3E50" w:rsidR="00237889" w:rsidRPr="00237889" w:rsidRDefault="00237889" w:rsidP="00237889">
      <w:pPr>
        <w:pStyle w:val="Heading20"/>
        <w:keepNext/>
        <w:keepLines/>
        <w:rPr>
          <w:b w:val="0"/>
          <w:bCs w:val="0"/>
        </w:rPr>
      </w:pPr>
      <w:r w:rsidRPr="00237889">
        <w:rPr>
          <w:b w:val="0"/>
          <w:bCs w:val="0"/>
        </w:rPr>
        <w:t>Hans Hoogervorst</w:t>
      </w:r>
    </w:p>
    <w:p w14:paraId="7360F645" w14:textId="77777777" w:rsidR="00BF0AE2" w:rsidRDefault="00BF0AE2" w:rsidP="00237889">
      <w:pPr>
        <w:pStyle w:val="Heading20"/>
        <w:keepNext/>
        <w:keepLines/>
        <w:rPr>
          <w:b w:val="0"/>
          <w:bCs w:val="0"/>
        </w:rPr>
      </w:pPr>
    </w:p>
    <w:p w14:paraId="1E3E20C8" w14:textId="77777777" w:rsidR="00BF0AE2" w:rsidRDefault="00BF0AE2" w:rsidP="00237889">
      <w:pPr>
        <w:pStyle w:val="Heading20"/>
        <w:keepNext/>
        <w:keepLines/>
        <w:rPr>
          <w:b w:val="0"/>
          <w:bCs w:val="0"/>
        </w:rPr>
      </w:pPr>
    </w:p>
    <w:p w14:paraId="36E76962" w14:textId="69D4A801" w:rsidR="00237889" w:rsidRPr="00BF0AE2" w:rsidRDefault="00237889" w:rsidP="00237889">
      <w:pPr>
        <w:pStyle w:val="Heading20"/>
        <w:keepNext/>
        <w:keepLines/>
        <w:rPr>
          <w:b w:val="0"/>
          <w:bCs w:val="0"/>
          <w:color w:val="808080" w:themeColor="background1" w:themeShade="80"/>
        </w:rPr>
      </w:pPr>
      <w:r w:rsidRPr="00BF0AE2">
        <w:rPr>
          <w:b w:val="0"/>
          <w:bCs w:val="0"/>
          <w:color w:val="808080" w:themeColor="background1" w:themeShade="80"/>
        </w:rPr>
        <w:t>A manda kopia di e karta aki na:</w:t>
      </w:r>
    </w:p>
    <w:p w14:paraId="66C2AC44" w14:textId="77777777" w:rsidR="00237889" w:rsidRPr="00BF0AE2" w:rsidRDefault="00237889" w:rsidP="00237889">
      <w:pPr>
        <w:pStyle w:val="Heading20"/>
        <w:keepNext/>
        <w:keepLines/>
        <w:rPr>
          <w:b w:val="0"/>
          <w:bCs w:val="0"/>
          <w:color w:val="808080" w:themeColor="background1" w:themeShade="80"/>
        </w:rPr>
      </w:pPr>
      <w:r w:rsidRPr="00BF0AE2">
        <w:rPr>
          <w:b w:val="0"/>
          <w:bCs w:val="0"/>
          <w:color w:val="808080" w:themeColor="background1" w:themeShade="80"/>
        </w:rPr>
        <w:t>Kolegio Ehekutivo di Entidat Públiko Boneiru</w:t>
      </w:r>
    </w:p>
    <w:p w14:paraId="55579A79" w14:textId="77777777" w:rsidR="00237889" w:rsidRPr="00BF0AE2" w:rsidRDefault="00237889" w:rsidP="00237889">
      <w:pPr>
        <w:pStyle w:val="Heading20"/>
        <w:keepNext/>
        <w:keepLines/>
        <w:rPr>
          <w:b w:val="0"/>
          <w:bCs w:val="0"/>
          <w:color w:val="808080" w:themeColor="background1" w:themeShade="80"/>
        </w:rPr>
      </w:pPr>
      <w:r w:rsidRPr="00BF0AE2">
        <w:rPr>
          <w:b w:val="0"/>
          <w:bCs w:val="0"/>
          <w:color w:val="808080" w:themeColor="background1" w:themeShade="80"/>
        </w:rPr>
        <w:t>Hefe di Finansa di Entidat Públiko Boneiru</w:t>
      </w:r>
    </w:p>
    <w:p w14:paraId="48AB8351" w14:textId="77D76500" w:rsidR="00E51417" w:rsidRPr="00205AC2" w:rsidRDefault="00237889" w:rsidP="00237889">
      <w:pPr>
        <w:pStyle w:val="Heading20"/>
        <w:keepNext/>
        <w:keepLines/>
        <w:rPr>
          <w:b w:val="0"/>
          <w:bCs w:val="0"/>
          <w:color w:val="808080" w:themeColor="background1" w:themeShade="80"/>
        </w:rPr>
      </w:pPr>
      <w:r w:rsidRPr="00BF0AE2">
        <w:rPr>
          <w:b w:val="0"/>
          <w:bCs w:val="0"/>
          <w:color w:val="808080" w:themeColor="background1" w:themeShade="80"/>
        </w:rPr>
        <w:t>Sekretario di Estado di Asuntunan Interior &amp; Relashonnan den Reino (BZK</w:t>
      </w:r>
      <w:r w:rsidR="00BF0AE2">
        <w:rPr>
          <w:b w:val="0"/>
          <w:bCs w:val="0"/>
          <w:color w:val="808080" w:themeColor="background1" w:themeShade="80"/>
        </w:rPr>
        <w:t>)</w:t>
      </w:r>
    </w:p>
    <w:p w14:paraId="0C6AA68E" w14:textId="77777777" w:rsidR="002C58F9" w:rsidRPr="00503BB1" w:rsidRDefault="002C58F9">
      <w:pPr>
        <w:rPr>
          <w:rFonts w:ascii="Verdana" w:eastAsia="Verdana" w:hAnsi="Verdana" w:cs="Verdana"/>
          <w:color w:val="A6A6A6" w:themeColor="background1" w:themeShade="A6"/>
          <w:sz w:val="17"/>
          <w:szCs w:val="17"/>
        </w:rPr>
      </w:pPr>
      <w:r w:rsidRPr="00503BB1">
        <w:rPr>
          <w:b/>
          <w:bCs/>
          <w:color w:val="A6A6A6" w:themeColor="background1" w:themeShade="A6"/>
        </w:rPr>
        <w:br w:type="page"/>
      </w:r>
    </w:p>
    <w:p w14:paraId="0E03E08B" w14:textId="77777777" w:rsidR="002C58F9" w:rsidRPr="00503BB1" w:rsidRDefault="002C58F9" w:rsidP="002C58F9">
      <w:pPr>
        <w:pStyle w:val="Heading20"/>
      </w:pPr>
      <w:bookmarkStart w:id="0" w:name="bookmark10"/>
      <w:r w:rsidRPr="00503BB1">
        <w:lastRenderedPageBreak/>
        <w:t>Anekso 2: Notanan final</w:t>
      </w:r>
      <w:bookmarkEnd w:id="0"/>
    </w:p>
    <w:p w14:paraId="7C5AAC7C" w14:textId="77777777" w:rsidR="00756208" w:rsidRPr="00503BB1" w:rsidRDefault="00756208" w:rsidP="00947CB5">
      <w:pPr>
        <w:pStyle w:val="Heading20"/>
        <w:keepNext/>
        <w:keepLines/>
      </w:pPr>
    </w:p>
    <w:sectPr w:rsidR="00756208" w:rsidRPr="00503BB1" w:rsidSect="00FE5B8A">
      <w:headerReference w:type="default" r:id="rId9"/>
      <w:headerReference w:type="first" r:id="rId10"/>
      <w:endnotePr>
        <w:numFmt w:val="decimal"/>
      </w:endnotePr>
      <w:pgSz w:w="12240" w:h="18720"/>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C67D5" w14:textId="77777777" w:rsidR="00D058A3" w:rsidRDefault="00D058A3">
      <w:r>
        <w:separator/>
      </w:r>
    </w:p>
  </w:endnote>
  <w:endnote w:type="continuationSeparator" w:id="0">
    <w:p w14:paraId="526AA3C7" w14:textId="77777777" w:rsidR="00D058A3" w:rsidRDefault="00D058A3">
      <w:r>
        <w:continuationSeparator/>
      </w:r>
    </w:p>
  </w:endnote>
  <w:endnote w:id="1">
    <w:p w14:paraId="247F3469" w14:textId="3BF22BD9" w:rsidR="00237889" w:rsidRPr="00237889" w:rsidRDefault="00237889">
      <w:pPr>
        <w:pStyle w:val="EndnoteText"/>
        <w:rPr>
          <w:rFonts w:ascii="Verdana" w:hAnsi="Verdana"/>
          <w:sz w:val="14"/>
          <w:szCs w:val="14"/>
          <w:lang w:val="es-ES"/>
        </w:rPr>
      </w:pPr>
      <w:r w:rsidRPr="00237889">
        <w:rPr>
          <w:rStyle w:val="EndnoteReference"/>
          <w:rFonts w:ascii="Verdana" w:hAnsi="Verdana"/>
          <w:sz w:val="14"/>
          <w:szCs w:val="14"/>
        </w:rPr>
        <w:endnoteRef/>
      </w:r>
      <w:r w:rsidRPr="00237889">
        <w:rPr>
          <w:rFonts w:ascii="Verdana" w:hAnsi="Verdana"/>
          <w:sz w:val="14"/>
          <w:szCs w:val="14"/>
        </w:rPr>
        <w:t xml:space="preserve"> </w:t>
      </w:r>
      <w:r w:rsidRPr="00237889">
        <w:rPr>
          <w:rFonts w:ascii="Verdana" w:hAnsi="Verdana"/>
          <w:sz w:val="14"/>
          <w:szCs w:val="14"/>
        </w:rPr>
        <w:t>Ta trata e huisio di Cft tokante di e alokashon di resultado den e konseho tokante di e di dos modifikashon di proyekto presupuestario 2026 (referensia Cft 202600056) i e entrega di e di dos modifikashon presupuestario stipulá 2026 di 15 di yüli 2026</w:t>
      </w:r>
      <w:r w:rsidRPr="00237889">
        <w:rPr>
          <w:rFonts w:ascii="Verdana" w:hAnsi="Verdana"/>
          <w:sz w:val="14"/>
          <w:szCs w:val="14"/>
        </w:rPr>
        <w:t>.</w:t>
      </w:r>
    </w:p>
  </w:endnote>
  <w:endnote w:id="2">
    <w:p w14:paraId="043F7632" w14:textId="575866CE" w:rsidR="00237889" w:rsidRPr="00237889" w:rsidRDefault="00237889">
      <w:pPr>
        <w:pStyle w:val="EndnoteText"/>
        <w:rPr>
          <w:lang w:val="es-ES"/>
        </w:rPr>
      </w:pPr>
      <w:r w:rsidRPr="00237889">
        <w:rPr>
          <w:rStyle w:val="EndnoteReference"/>
          <w:rFonts w:ascii="Verdana" w:hAnsi="Verdana"/>
          <w:sz w:val="14"/>
          <w:szCs w:val="14"/>
        </w:rPr>
        <w:endnoteRef/>
      </w:r>
      <w:r w:rsidRPr="00237889">
        <w:rPr>
          <w:rFonts w:ascii="Verdana" w:hAnsi="Verdana"/>
          <w:sz w:val="14"/>
          <w:szCs w:val="14"/>
        </w:rPr>
        <w:t xml:space="preserve"> </w:t>
      </w:r>
      <w:r w:rsidRPr="00237889">
        <w:rPr>
          <w:rFonts w:ascii="Verdana" w:hAnsi="Verdana"/>
          <w:sz w:val="14"/>
          <w:szCs w:val="14"/>
        </w:rPr>
        <w:t>Durante e kòntròl di ouditor 2023 a bin resultá ku e último añanan, OLB inkorektamente no a paga e ABB pa ABB trasladá na OLB. Komo ku proveedónan (entre otro di Hulanda) a trasladá e impuesto pa OLB, OBL mester a paga esaki na Servisio di Impuesto Hulanda Karibense. OLB a kalkulá ku pa e periodo 1999-2023 esaki ta un montante di USD 1,1 mion, i pa 2024-2025 ta antisipá ku ta USD 1,2 mion</w:t>
      </w:r>
      <w:r w:rsidRPr="00237889">
        <w:rPr>
          <w:rFonts w:ascii="Verdana" w:hAnsi="Verdana"/>
          <w:sz w:val="14"/>
          <w:szCs w:val="1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8D01C" w14:textId="77777777" w:rsidR="00D058A3" w:rsidRDefault="00D058A3"/>
  </w:footnote>
  <w:footnote w:type="continuationSeparator" w:id="0">
    <w:p w14:paraId="77557EAB" w14:textId="77777777" w:rsidR="00D058A3" w:rsidRDefault="00D058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0741" w14:textId="3952022B" w:rsidR="00253BCC" w:rsidRDefault="00253BC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0742" w14:textId="77777777" w:rsidR="00253BCC" w:rsidRDefault="00253BCC">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6F89"/>
    <w:multiLevelType w:val="hybridMultilevel"/>
    <w:tmpl w:val="6DA00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C7E95"/>
    <w:multiLevelType w:val="hybridMultilevel"/>
    <w:tmpl w:val="B9D22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3A2950"/>
    <w:multiLevelType w:val="hybridMultilevel"/>
    <w:tmpl w:val="1C46F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3E5084"/>
    <w:multiLevelType w:val="multilevel"/>
    <w:tmpl w:val="34A8A246"/>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7"/>
        <w:szCs w:val="17"/>
        <w:u w:val="none"/>
        <w:effect w:val="none"/>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A0F73C5"/>
    <w:multiLevelType w:val="hybridMultilevel"/>
    <w:tmpl w:val="220A28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9A28FF"/>
    <w:multiLevelType w:val="hybridMultilevel"/>
    <w:tmpl w:val="CE40F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D64DC"/>
    <w:multiLevelType w:val="hybridMultilevel"/>
    <w:tmpl w:val="103405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141F46"/>
    <w:multiLevelType w:val="hybridMultilevel"/>
    <w:tmpl w:val="F1BC5A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773658"/>
    <w:multiLevelType w:val="hybridMultilevel"/>
    <w:tmpl w:val="F27AB432"/>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0C642D"/>
    <w:multiLevelType w:val="multilevel"/>
    <w:tmpl w:val="A0740600"/>
    <w:lvl w:ilvl="0">
      <w:start w:val="1"/>
      <w:numFmt w:val="lowerLetter"/>
      <w:lvlText w:val="%1."/>
      <w:lvlJc w:val="left"/>
      <w:pPr>
        <w:ind w:left="0" w:firstLine="0"/>
      </w:pPr>
      <w:rPr>
        <w:b w:val="0"/>
        <w:bCs w:val="0"/>
        <w:i w:val="0"/>
        <w:iCs w:val="0"/>
        <w:smallCaps w:val="0"/>
        <w:strike w:val="0"/>
        <w:dstrike w:val="0"/>
        <w:color w:val="000000"/>
        <w:spacing w:val="0"/>
        <w:w w:val="100"/>
        <w:position w:val="0"/>
        <w:sz w:val="17"/>
        <w:szCs w:val="17"/>
        <w:u w:val="none"/>
        <w:effect w:val="none"/>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9662D9E"/>
    <w:multiLevelType w:val="multilevel"/>
    <w:tmpl w:val="8B18AA06"/>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7"/>
        <w:szCs w:val="17"/>
        <w:u w:val="none"/>
        <w:effect w:val="none"/>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6946C7E"/>
    <w:multiLevelType w:val="multilevel"/>
    <w:tmpl w:val="327C4B16"/>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7"/>
        <w:szCs w:val="17"/>
        <w:u w:val="none"/>
        <w:effect w:val="none"/>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4ADD3E0F"/>
    <w:multiLevelType w:val="multilevel"/>
    <w:tmpl w:val="F196CF26"/>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4"/>
        <w:szCs w:val="14"/>
        <w:u w:val="none"/>
        <w:effect w:val="none"/>
        <w:vertAlign w:val="superscript"/>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50C1546A"/>
    <w:multiLevelType w:val="multilevel"/>
    <w:tmpl w:val="45088EF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4"/>
        <w:szCs w:val="14"/>
        <w:u w:val="none"/>
        <w:shd w:val="clear" w:color="auto" w:fill="auto"/>
        <w:vertAlign w:val="superscript"/>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6440E5"/>
    <w:multiLevelType w:val="multilevel"/>
    <w:tmpl w:val="BAF49E08"/>
    <w:lvl w:ilvl="0">
      <w:start w:val="1"/>
      <w:numFmt w:val="lowerLetter"/>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7"/>
        <w:szCs w:val="17"/>
        <w:u w:val="none"/>
        <w:effect w:val="none"/>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9B95B5A"/>
    <w:multiLevelType w:val="multilevel"/>
    <w:tmpl w:val="C338E4B2"/>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7"/>
        <w:szCs w:val="17"/>
        <w:u w:val="none"/>
        <w:effect w:val="none"/>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5A844CD5"/>
    <w:multiLevelType w:val="hybridMultilevel"/>
    <w:tmpl w:val="9D869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4A5C76"/>
    <w:multiLevelType w:val="hybridMultilevel"/>
    <w:tmpl w:val="ADDAF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C7304BF"/>
    <w:multiLevelType w:val="multilevel"/>
    <w:tmpl w:val="634844B4"/>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7"/>
        <w:szCs w:val="17"/>
        <w:u w:val="none"/>
        <w:effect w:val="none"/>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616E0979"/>
    <w:multiLevelType w:val="hybridMultilevel"/>
    <w:tmpl w:val="475E3D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E57427"/>
    <w:multiLevelType w:val="hybridMultilevel"/>
    <w:tmpl w:val="4D122704"/>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7545F7D"/>
    <w:multiLevelType w:val="hybridMultilevel"/>
    <w:tmpl w:val="333A9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AF179A"/>
    <w:multiLevelType w:val="multilevel"/>
    <w:tmpl w:val="56B82FA8"/>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4"/>
        <w:szCs w:val="14"/>
        <w:u w:val="none"/>
        <w:effect w:val="none"/>
        <w:vertAlign w:val="superscript"/>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6EAA4B4D"/>
    <w:multiLevelType w:val="multilevel"/>
    <w:tmpl w:val="F6968BE8"/>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4"/>
        <w:szCs w:val="14"/>
        <w:u w:val="none"/>
        <w:effect w:val="none"/>
        <w:vertAlign w:val="superscript"/>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70DB5E76"/>
    <w:multiLevelType w:val="multilevel"/>
    <w:tmpl w:val="54E66D30"/>
    <w:lvl w:ilvl="0">
      <w:start w:val="1"/>
      <w:numFmt w:val="lowerLetter"/>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7"/>
        <w:szCs w:val="17"/>
        <w:u w:val="none"/>
        <w:effect w:val="none"/>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71E81B2B"/>
    <w:multiLevelType w:val="multilevel"/>
    <w:tmpl w:val="D4B82E42"/>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7"/>
        <w:szCs w:val="17"/>
        <w:u w:val="none"/>
        <w:effect w:val="none"/>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732E6C24"/>
    <w:multiLevelType w:val="multilevel"/>
    <w:tmpl w:val="F8D0DD2E"/>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4"/>
        <w:szCs w:val="14"/>
        <w:u w:val="none"/>
        <w:effect w:val="none"/>
        <w:vertAlign w:val="superscript"/>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7C634144"/>
    <w:multiLevelType w:val="hybridMultilevel"/>
    <w:tmpl w:val="9A0ADF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7167253">
    <w:abstractNumId w:val="13"/>
  </w:num>
  <w:num w:numId="2" w16cid:durableId="877548892">
    <w:abstractNumId w:val="22"/>
    <w:lvlOverride w:ilvl="0">
      <w:startOverride w:val="1"/>
    </w:lvlOverride>
    <w:lvlOverride w:ilvl="1"/>
    <w:lvlOverride w:ilvl="2"/>
    <w:lvlOverride w:ilvl="3"/>
    <w:lvlOverride w:ilvl="4"/>
    <w:lvlOverride w:ilvl="5"/>
    <w:lvlOverride w:ilvl="6"/>
    <w:lvlOverride w:ilvl="7"/>
    <w:lvlOverride w:ilvl="8"/>
  </w:num>
  <w:num w:numId="3" w16cid:durableId="556167224">
    <w:abstractNumId w:val="3"/>
    <w:lvlOverride w:ilvl="0">
      <w:startOverride w:val="1"/>
    </w:lvlOverride>
    <w:lvlOverride w:ilvl="1"/>
    <w:lvlOverride w:ilvl="2"/>
    <w:lvlOverride w:ilvl="3"/>
    <w:lvlOverride w:ilvl="4"/>
    <w:lvlOverride w:ilvl="5"/>
    <w:lvlOverride w:ilvl="6"/>
    <w:lvlOverride w:ilvl="7"/>
    <w:lvlOverride w:ilvl="8"/>
  </w:num>
  <w:num w:numId="4" w16cid:durableId="412091303">
    <w:abstractNumId w:val="25"/>
    <w:lvlOverride w:ilvl="0">
      <w:startOverride w:val="1"/>
    </w:lvlOverride>
    <w:lvlOverride w:ilvl="1"/>
    <w:lvlOverride w:ilvl="2"/>
    <w:lvlOverride w:ilvl="3"/>
    <w:lvlOverride w:ilvl="4"/>
    <w:lvlOverride w:ilvl="5"/>
    <w:lvlOverride w:ilvl="6"/>
    <w:lvlOverride w:ilvl="7"/>
    <w:lvlOverride w:ilvl="8"/>
  </w:num>
  <w:num w:numId="5" w16cid:durableId="1763066721">
    <w:abstractNumId w:val="24"/>
    <w:lvlOverride w:ilvl="0">
      <w:startOverride w:val="1"/>
    </w:lvlOverride>
    <w:lvlOverride w:ilvl="1"/>
    <w:lvlOverride w:ilvl="2"/>
    <w:lvlOverride w:ilvl="3"/>
    <w:lvlOverride w:ilvl="4"/>
    <w:lvlOverride w:ilvl="5"/>
    <w:lvlOverride w:ilvl="6"/>
    <w:lvlOverride w:ilvl="7"/>
    <w:lvlOverride w:ilvl="8"/>
  </w:num>
  <w:num w:numId="6" w16cid:durableId="2032105053">
    <w:abstractNumId w:val="4"/>
  </w:num>
  <w:num w:numId="7" w16cid:durableId="1781727867">
    <w:abstractNumId w:val="9"/>
  </w:num>
  <w:num w:numId="8" w16cid:durableId="1074551344">
    <w:abstractNumId w:val="14"/>
    <w:lvlOverride w:ilvl="0">
      <w:startOverride w:val="1"/>
    </w:lvlOverride>
    <w:lvlOverride w:ilvl="1"/>
    <w:lvlOverride w:ilvl="2"/>
    <w:lvlOverride w:ilvl="3"/>
    <w:lvlOverride w:ilvl="4"/>
    <w:lvlOverride w:ilvl="5"/>
    <w:lvlOverride w:ilvl="6"/>
    <w:lvlOverride w:ilvl="7"/>
    <w:lvlOverride w:ilvl="8"/>
  </w:num>
  <w:num w:numId="9" w16cid:durableId="1994022928">
    <w:abstractNumId w:val="6"/>
  </w:num>
  <w:num w:numId="10" w16cid:durableId="628242319">
    <w:abstractNumId w:val="7"/>
  </w:num>
  <w:num w:numId="11" w16cid:durableId="319047269">
    <w:abstractNumId w:val="19"/>
  </w:num>
  <w:num w:numId="12" w16cid:durableId="1320504052">
    <w:abstractNumId w:val="23"/>
    <w:lvlOverride w:ilvl="0">
      <w:startOverride w:val="1"/>
    </w:lvlOverride>
    <w:lvlOverride w:ilvl="1"/>
    <w:lvlOverride w:ilvl="2"/>
    <w:lvlOverride w:ilvl="3"/>
    <w:lvlOverride w:ilvl="4"/>
    <w:lvlOverride w:ilvl="5"/>
    <w:lvlOverride w:ilvl="6"/>
    <w:lvlOverride w:ilvl="7"/>
    <w:lvlOverride w:ilvl="8"/>
  </w:num>
  <w:num w:numId="13" w16cid:durableId="671298294">
    <w:abstractNumId w:val="15"/>
    <w:lvlOverride w:ilvl="0">
      <w:startOverride w:val="1"/>
    </w:lvlOverride>
    <w:lvlOverride w:ilvl="1"/>
    <w:lvlOverride w:ilvl="2"/>
    <w:lvlOverride w:ilvl="3"/>
    <w:lvlOverride w:ilvl="4"/>
    <w:lvlOverride w:ilvl="5"/>
    <w:lvlOverride w:ilvl="6"/>
    <w:lvlOverride w:ilvl="7"/>
    <w:lvlOverride w:ilvl="8"/>
  </w:num>
  <w:num w:numId="14" w16cid:durableId="599070596">
    <w:abstractNumId w:val="21"/>
  </w:num>
  <w:num w:numId="15" w16cid:durableId="1093286780">
    <w:abstractNumId w:val="11"/>
    <w:lvlOverride w:ilvl="0">
      <w:startOverride w:val="1"/>
    </w:lvlOverride>
    <w:lvlOverride w:ilvl="1"/>
    <w:lvlOverride w:ilvl="2"/>
    <w:lvlOverride w:ilvl="3"/>
    <w:lvlOverride w:ilvl="4"/>
    <w:lvlOverride w:ilvl="5"/>
    <w:lvlOverride w:ilvl="6"/>
    <w:lvlOverride w:ilvl="7"/>
    <w:lvlOverride w:ilvl="8"/>
  </w:num>
  <w:num w:numId="16" w16cid:durableId="913858736">
    <w:abstractNumId w:val="26"/>
    <w:lvlOverride w:ilvl="0">
      <w:startOverride w:val="1"/>
    </w:lvlOverride>
    <w:lvlOverride w:ilvl="1"/>
    <w:lvlOverride w:ilvl="2"/>
    <w:lvlOverride w:ilvl="3"/>
    <w:lvlOverride w:ilvl="4"/>
    <w:lvlOverride w:ilvl="5"/>
    <w:lvlOverride w:ilvl="6"/>
    <w:lvlOverride w:ilvl="7"/>
    <w:lvlOverride w:ilvl="8"/>
  </w:num>
  <w:num w:numId="17" w16cid:durableId="217012194">
    <w:abstractNumId w:val="20"/>
  </w:num>
  <w:num w:numId="18" w16cid:durableId="49353340">
    <w:abstractNumId w:val="16"/>
  </w:num>
  <w:num w:numId="19" w16cid:durableId="1616711612">
    <w:abstractNumId w:val="18"/>
    <w:lvlOverride w:ilvl="0">
      <w:startOverride w:val="1"/>
    </w:lvlOverride>
    <w:lvlOverride w:ilvl="1"/>
    <w:lvlOverride w:ilvl="2"/>
    <w:lvlOverride w:ilvl="3"/>
    <w:lvlOverride w:ilvl="4"/>
    <w:lvlOverride w:ilvl="5"/>
    <w:lvlOverride w:ilvl="6"/>
    <w:lvlOverride w:ilvl="7"/>
    <w:lvlOverride w:ilvl="8"/>
  </w:num>
  <w:num w:numId="20" w16cid:durableId="659887153">
    <w:abstractNumId w:val="17"/>
  </w:num>
  <w:num w:numId="21" w16cid:durableId="185796047">
    <w:abstractNumId w:val="12"/>
    <w:lvlOverride w:ilvl="0">
      <w:startOverride w:val="1"/>
    </w:lvlOverride>
    <w:lvlOverride w:ilvl="1"/>
    <w:lvlOverride w:ilvl="2"/>
    <w:lvlOverride w:ilvl="3"/>
    <w:lvlOverride w:ilvl="4"/>
    <w:lvlOverride w:ilvl="5"/>
    <w:lvlOverride w:ilvl="6"/>
    <w:lvlOverride w:ilvl="7"/>
    <w:lvlOverride w:ilvl="8"/>
  </w:num>
  <w:num w:numId="22" w16cid:durableId="1375811605">
    <w:abstractNumId w:val="8"/>
  </w:num>
  <w:num w:numId="23" w16cid:durableId="1477839070">
    <w:abstractNumId w:val="10"/>
    <w:lvlOverride w:ilvl="0">
      <w:startOverride w:val="1"/>
    </w:lvlOverride>
    <w:lvlOverride w:ilvl="1"/>
    <w:lvlOverride w:ilvl="2"/>
    <w:lvlOverride w:ilvl="3"/>
    <w:lvlOverride w:ilvl="4"/>
    <w:lvlOverride w:ilvl="5"/>
    <w:lvlOverride w:ilvl="6"/>
    <w:lvlOverride w:ilvl="7"/>
    <w:lvlOverride w:ilvl="8"/>
  </w:num>
  <w:num w:numId="24" w16cid:durableId="1029840630">
    <w:abstractNumId w:val="27"/>
  </w:num>
  <w:num w:numId="25" w16cid:durableId="2064132505">
    <w:abstractNumId w:val="2"/>
  </w:num>
  <w:num w:numId="26" w16cid:durableId="413818004">
    <w:abstractNumId w:val="1"/>
  </w:num>
  <w:num w:numId="27" w16cid:durableId="520123456">
    <w:abstractNumId w:val="5"/>
  </w:num>
  <w:num w:numId="28" w16cid:durableId="38649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BCC"/>
    <w:rsid w:val="00011479"/>
    <w:rsid w:val="00067A9D"/>
    <w:rsid w:val="000A3D75"/>
    <w:rsid w:val="000B1F8A"/>
    <w:rsid w:val="000D5347"/>
    <w:rsid w:val="00104EB0"/>
    <w:rsid w:val="001514C3"/>
    <w:rsid w:val="00153C65"/>
    <w:rsid w:val="001657CF"/>
    <w:rsid w:val="001A463F"/>
    <w:rsid w:val="001E5F51"/>
    <w:rsid w:val="001E7437"/>
    <w:rsid w:val="001F3628"/>
    <w:rsid w:val="001F79D0"/>
    <w:rsid w:val="00205AC2"/>
    <w:rsid w:val="002219A2"/>
    <w:rsid w:val="00237889"/>
    <w:rsid w:val="0024496F"/>
    <w:rsid w:val="00253BCC"/>
    <w:rsid w:val="00255A5E"/>
    <w:rsid w:val="00276CD1"/>
    <w:rsid w:val="00290AF8"/>
    <w:rsid w:val="002B2F35"/>
    <w:rsid w:val="002C58F9"/>
    <w:rsid w:val="002D372E"/>
    <w:rsid w:val="002D585D"/>
    <w:rsid w:val="002F1795"/>
    <w:rsid w:val="00306AAB"/>
    <w:rsid w:val="00312332"/>
    <w:rsid w:val="00330C2A"/>
    <w:rsid w:val="003669BE"/>
    <w:rsid w:val="00390284"/>
    <w:rsid w:val="003A3B00"/>
    <w:rsid w:val="003B1513"/>
    <w:rsid w:val="003C4919"/>
    <w:rsid w:val="003C7716"/>
    <w:rsid w:val="003F2418"/>
    <w:rsid w:val="00415F12"/>
    <w:rsid w:val="0044307F"/>
    <w:rsid w:val="00447F22"/>
    <w:rsid w:val="004B00B0"/>
    <w:rsid w:val="004C4280"/>
    <w:rsid w:val="004E2950"/>
    <w:rsid w:val="00503BB1"/>
    <w:rsid w:val="00520BBD"/>
    <w:rsid w:val="005606A4"/>
    <w:rsid w:val="005679C7"/>
    <w:rsid w:val="005868A3"/>
    <w:rsid w:val="005A6EE9"/>
    <w:rsid w:val="005C3DF5"/>
    <w:rsid w:val="005D5136"/>
    <w:rsid w:val="00626889"/>
    <w:rsid w:val="00643752"/>
    <w:rsid w:val="00682ECC"/>
    <w:rsid w:val="0069527F"/>
    <w:rsid w:val="006C73A8"/>
    <w:rsid w:val="00711F43"/>
    <w:rsid w:val="0075282B"/>
    <w:rsid w:val="00756208"/>
    <w:rsid w:val="0077399A"/>
    <w:rsid w:val="007778BC"/>
    <w:rsid w:val="00823079"/>
    <w:rsid w:val="008A6600"/>
    <w:rsid w:val="008C1D92"/>
    <w:rsid w:val="008C6A20"/>
    <w:rsid w:val="00903562"/>
    <w:rsid w:val="00920263"/>
    <w:rsid w:val="00922B90"/>
    <w:rsid w:val="00926AF3"/>
    <w:rsid w:val="0093161D"/>
    <w:rsid w:val="00944C13"/>
    <w:rsid w:val="00946B05"/>
    <w:rsid w:val="00947CB5"/>
    <w:rsid w:val="009570E8"/>
    <w:rsid w:val="0099562E"/>
    <w:rsid w:val="009A0498"/>
    <w:rsid w:val="009A39E9"/>
    <w:rsid w:val="009E73BD"/>
    <w:rsid w:val="009F2929"/>
    <w:rsid w:val="00A25D1D"/>
    <w:rsid w:val="00A35986"/>
    <w:rsid w:val="00A51D4E"/>
    <w:rsid w:val="00A55F32"/>
    <w:rsid w:val="00A63412"/>
    <w:rsid w:val="00A755BC"/>
    <w:rsid w:val="00AA2F7D"/>
    <w:rsid w:val="00AC623A"/>
    <w:rsid w:val="00AF1E8A"/>
    <w:rsid w:val="00AF7AEB"/>
    <w:rsid w:val="00B01A9C"/>
    <w:rsid w:val="00B07978"/>
    <w:rsid w:val="00B123C3"/>
    <w:rsid w:val="00B17988"/>
    <w:rsid w:val="00B20F33"/>
    <w:rsid w:val="00B640C7"/>
    <w:rsid w:val="00B765D9"/>
    <w:rsid w:val="00BB70E3"/>
    <w:rsid w:val="00BF0AE2"/>
    <w:rsid w:val="00C06992"/>
    <w:rsid w:val="00C1523A"/>
    <w:rsid w:val="00C56D3A"/>
    <w:rsid w:val="00C64CD0"/>
    <w:rsid w:val="00C92757"/>
    <w:rsid w:val="00CA336C"/>
    <w:rsid w:val="00CA59F4"/>
    <w:rsid w:val="00CE09BA"/>
    <w:rsid w:val="00CE4416"/>
    <w:rsid w:val="00D03400"/>
    <w:rsid w:val="00D04F33"/>
    <w:rsid w:val="00D058A3"/>
    <w:rsid w:val="00D14CFD"/>
    <w:rsid w:val="00D34E4A"/>
    <w:rsid w:val="00D50EE4"/>
    <w:rsid w:val="00D762C2"/>
    <w:rsid w:val="00DC39E6"/>
    <w:rsid w:val="00DD06AA"/>
    <w:rsid w:val="00E0117B"/>
    <w:rsid w:val="00E07DA9"/>
    <w:rsid w:val="00E12626"/>
    <w:rsid w:val="00E2539E"/>
    <w:rsid w:val="00E51417"/>
    <w:rsid w:val="00E71FED"/>
    <w:rsid w:val="00E96BC3"/>
    <w:rsid w:val="00E97608"/>
    <w:rsid w:val="00EB4857"/>
    <w:rsid w:val="00EE20D5"/>
    <w:rsid w:val="00F02512"/>
    <w:rsid w:val="00F02F4C"/>
    <w:rsid w:val="00F03C83"/>
    <w:rsid w:val="00F06B15"/>
    <w:rsid w:val="00F22FB9"/>
    <w:rsid w:val="00F50927"/>
    <w:rsid w:val="00FC33FE"/>
    <w:rsid w:val="00FD6AF3"/>
    <w:rsid w:val="00FE018C"/>
    <w:rsid w:val="00FE5B8A"/>
    <w:rsid w:val="00FE748B"/>
    <w:rsid w:val="00FF096A"/>
    <w:rsid w:val="00FF3D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405E3"/>
  <w15:docId w15:val="{F0102F14-07B6-4874-8C57-6C56DB0E3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ap-029" w:eastAsia="nl-N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Verdana" w:eastAsia="Verdana" w:hAnsi="Verdana" w:cs="Verdana"/>
      <w:b/>
      <w:bCs/>
      <w:i w:val="0"/>
      <w:iCs w:val="0"/>
      <w:smallCaps w:val="0"/>
      <w:strike w:val="0"/>
      <w:sz w:val="20"/>
      <w:szCs w:val="20"/>
      <w:u w:val="none"/>
    </w:rPr>
  </w:style>
  <w:style w:type="character" w:customStyle="1" w:styleId="BodyTextChar">
    <w:name w:val="Body Text Char"/>
    <w:basedOn w:val="DefaultParagraphFont"/>
    <w:link w:val="BodyText"/>
    <w:rPr>
      <w:rFonts w:ascii="Verdana" w:eastAsia="Verdana" w:hAnsi="Verdana" w:cs="Verdana"/>
      <w:b w:val="0"/>
      <w:bCs w:val="0"/>
      <w:i w:val="0"/>
      <w:iCs w:val="0"/>
      <w:smallCaps w:val="0"/>
      <w:strike w:val="0"/>
      <w:sz w:val="17"/>
      <w:szCs w:val="17"/>
      <w:u w:val="none"/>
    </w:rPr>
  </w:style>
  <w:style w:type="character" w:customStyle="1" w:styleId="Bodytext3">
    <w:name w:val="Body text (3)_"/>
    <w:basedOn w:val="DefaultParagraphFont"/>
    <w:link w:val="Bodytext30"/>
    <w:rPr>
      <w:rFonts w:ascii="Verdana" w:eastAsia="Verdana" w:hAnsi="Verdana" w:cs="Verdana"/>
      <w:b w:val="0"/>
      <w:bCs w:val="0"/>
      <w:i w:val="0"/>
      <w:iCs w:val="0"/>
      <w:smallCaps w:val="0"/>
      <w:strike w:val="0"/>
      <w:sz w:val="12"/>
      <w:szCs w:val="12"/>
      <w:u w:val="none"/>
    </w:rPr>
  </w:style>
  <w:style w:type="character" w:customStyle="1" w:styleId="Heading2">
    <w:name w:val="Heading #2_"/>
    <w:basedOn w:val="DefaultParagraphFont"/>
    <w:link w:val="Heading20"/>
    <w:rPr>
      <w:rFonts w:ascii="Verdana" w:eastAsia="Verdana" w:hAnsi="Verdana" w:cs="Verdana"/>
      <w:b/>
      <w:bCs/>
      <w:i w:val="0"/>
      <w:iCs w:val="0"/>
      <w:smallCaps w:val="0"/>
      <w:strike w:val="0"/>
      <w:sz w:val="17"/>
      <w:szCs w:val="17"/>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caption">
    <w:name w:val="Table caption_"/>
    <w:basedOn w:val="DefaultParagraphFont"/>
    <w:link w:val="Tablecaption0"/>
    <w:rPr>
      <w:rFonts w:ascii="Verdana" w:eastAsia="Verdana" w:hAnsi="Verdana" w:cs="Verdana"/>
      <w:b w:val="0"/>
      <w:bCs w:val="0"/>
      <w:i/>
      <w:iCs/>
      <w:smallCaps w:val="0"/>
      <w:strike w:val="0"/>
      <w:sz w:val="15"/>
      <w:szCs w:val="15"/>
      <w:u w:val="none"/>
    </w:rPr>
  </w:style>
  <w:style w:type="character" w:customStyle="1" w:styleId="Other">
    <w:name w:val="Other_"/>
    <w:basedOn w:val="DefaultParagraphFont"/>
    <w:link w:val="Other0"/>
    <w:rPr>
      <w:rFonts w:ascii="Verdana" w:eastAsia="Verdana" w:hAnsi="Verdana" w:cs="Verdana"/>
      <w:b w:val="0"/>
      <w:bCs w:val="0"/>
      <w:i w:val="0"/>
      <w:iCs w:val="0"/>
      <w:smallCaps w:val="0"/>
      <w:strike w:val="0"/>
      <w:sz w:val="17"/>
      <w:szCs w:val="17"/>
      <w:u w:val="none"/>
    </w:rPr>
  </w:style>
  <w:style w:type="character" w:customStyle="1" w:styleId="Bodytext2">
    <w:name w:val="Body text (2)_"/>
    <w:basedOn w:val="DefaultParagraphFont"/>
    <w:link w:val="Bodytext20"/>
    <w:rPr>
      <w:rFonts w:ascii="Verdana" w:eastAsia="Verdana" w:hAnsi="Verdana" w:cs="Verdana"/>
      <w:b w:val="0"/>
      <w:bCs w:val="0"/>
      <w:i w:val="0"/>
      <w:iCs w:val="0"/>
      <w:smallCaps w:val="0"/>
      <w:strike w:val="0"/>
      <w:sz w:val="14"/>
      <w:szCs w:val="14"/>
      <w:u w:val="none"/>
    </w:rPr>
  </w:style>
  <w:style w:type="paragraph" w:customStyle="1" w:styleId="Heading10">
    <w:name w:val="Heading #1"/>
    <w:basedOn w:val="Normal"/>
    <w:link w:val="Heading1"/>
    <w:pPr>
      <w:outlineLvl w:val="0"/>
    </w:pPr>
    <w:rPr>
      <w:rFonts w:ascii="Verdana" w:eastAsia="Verdana" w:hAnsi="Verdana" w:cs="Verdana"/>
      <w:b/>
      <w:bCs/>
      <w:sz w:val="20"/>
      <w:szCs w:val="20"/>
    </w:rPr>
  </w:style>
  <w:style w:type="paragraph" w:styleId="BodyText">
    <w:name w:val="Body Text"/>
    <w:basedOn w:val="Normal"/>
    <w:link w:val="BodyTextChar"/>
    <w:qFormat/>
    <w:pPr>
      <w:spacing w:after="240" w:line="302" w:lineRule="auto"/>
    </w:pPr>
    <w:rPr>
      <w:rFonts w:ascii="Verdana" w:eastAsia="Verdana" w:hAnsi="Verdana" w:cs="Verdana"/>
      <w:sz w:val="17"/>
      <w:szCs w:val="17"/>
    </w:rPr>
  </w:style>
  <w:style w:type="paragraph" w:customStyle="1" w:styleId="Bodytext30">
    <w:name w:val="Body text (3)"/>
    <w:basedOn w:val="Normal"/>
    <w:link w:val="Bodytext3"/>
    <w:pPr>
      <w:spacing w:after="30" w:line="293" w:lineRule="auto"/>
    </w:pPr>
    <w:rPr>
      <w:rFonts w:ascii="Verdana" w:eastAsia="Verdana" w:hAnsi="Verdana" w:cs="Verdana"/>
      <w:sz w:val="12"/>
      <w:szCs w:val="12"/>
    </w:rPr>
  </w:style>
  <w:style w:type="paragraph" w:customStyle="1" w:styleId="Heading20">
    <w:name w:val="Heading #2"/>
    <w:basedOn w:val="Normal"/>
    <w:link w:val="Heading2"/>
    <w:pPr>
      <w:spacing w:line="302" w:lineRule="auto"/>
      <w:outlineLvl w:val="1"/>
    </w:pPr>
    <w:rPr>
      <w:rFonts w:ascii="Verdana" w:eastAsia="Verdana" w:hAnsi="Verdana" w:cs="Verdana"/>
      <w:b/>
      <w:bCs/>
      <w:sz w:val="17"/>
      <w:szCs w:val="17"/>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Verdana" w:eastAsia="Verdana" w:hAnsi="Verdana" w:cs="Verdana"/>
      <w:i/>
      <w:iCs/>
      <w:sz w:val="15"/>
      <w:szCs w:val="15"/>
    </w:rPr>
  </w:style>
  <w:style w:type="paragraph" w:customStyle="1" w:styleId="Other0">
    <w:name w:val="Other"/>
    <w:basedOn w:val="Normal"/>
    <w:link w:val="Other"/>
    <w:pPr>
      <w:spacing w:after="240" w:line="302" w:lineRule="auto"/>
    </w:pPr>
    <w:rPr>
      <w:rFonts w:ascii="Verdana" w:eastAsia="Verdana" w:hAnsi="Verdana" w:cs="Verdana"/>
      <w:sz w:val="17"/>
      <w:szCs w:val="17"/>
    </w:rPr>
  </w:style>
  <w:style w:type="paragraph" w:customStyle="1" w:styleId="Bodytext20">
    <w:name w:val="Body text (2)"/>
    <w:basedOn w:val="Normal"/>
    <w:link w:val="Bodytext2"/>
    <w:rPr>
      <w:rFonts w:ascii="Verdana" w:eastAsia="Verdana" w:hAnsi="Verdana" w:cs="Verdana"/>
      <w:sz w:val="14"/>
      <w:szCs w:val="14"/>
    </w:rPr>
  </w:style>
  <w:style w:type="paragraph" w:styleId="Header">
    <w:name w:val="header"/>
    <w:basedOn w:val="Normal"/>
    <w:link w:val="HeaderChar"/>
    <w:uiPriority w:val="99"/>
    <w:unhideWhenUsed/>
    <w:rsid w:val="00FE5B8A"/>
    <w:pPr>
      <w:tabs>
        <w:tab w:val="center" w:pos="4536"/>
        <w:tab w:val="right" w:pos="9072"/>
      </w:tabs>
    </w:pPr>
  </w:style>
  <w:style w:type="character" w:customStyle="1" w:styleId="HeaderChar">
    <w:name w:val="Header Char"/>
    <w:basedOn w:val="DefaultParagraphFont"/>
    <w:link w:val="Header"/>
    <w:uiPriority w:val="99"/>
    <w:rsid w:val="00FE5B8A"/>
    <w:rPr>
      <w:color w:val="000000"/>
    </w:rPr>
  </w:style>
  <w:style w:type="paragraph" w:styleId="Footer">
    <w:name w:val="footer"/>
    <w:basedOn w:val="Normal"/>
    <w:link w:val="FooterChar"/>
    <w:uiPriority w:val="99"/>
    <w:unhideWhenUsed/>
    <w:rsid w:val="00FE5B8A"/>
    <w:pPr>
      <w:tabs>
        <w:tab w:val="center" w:pos="4536"/>
        <w:tab w:val="right" w:pos="9072"/>
      </w:tabs>
    </w:pPr>
  </w:style>
  <w:style w:type="character" w:customStyle="1" w:styleId="FooterChar">
    <w:name w:val="Footer Char"/>
    <w:basedOn w:val="DefaultParagraphFont"/>
    <w:link w:val="Footer"/>
    <w:uiPriority w:val="99"/>
    <w:rsid w:val="00FE5B8A"/>
    <w:rPr>
      <w:color w:val="000000"/>
    </w:rPr>
  </w:style>
  <w:style w:type="paragraph" w:styleId="EndnoteText">
    <w:name w:val="endnote text"/>
    <w:basedOn w:val="Normal"/>
    <w:link w:val="EndnoteTextChar"/>
    <w:uiPriority w:val="99"/>
    <w:semiHidden/>
    <w:unhideWhenUsed/>
    <w:rsid w:val="00FE5B8A"/>
    <w:rPr>
      <w:sz w:val="20"/>
      <w:szCs w:val="20"/>
    </w:rPr>
  </w:style>
  <w:style w:type="character" w:customStyle="1" w:styleId="EndnoteTextChar">
    <w:name w:val="Endnote Text Char"/>
    <w:basedOn w:val="DefaultParagraphFont"/>
    <w:link w:val="EndnoteText"/>
    <w:uiPriority w:val="99"/>
    <w:semiHidden/>
    <w:rsid w:val="00FE5B8A"/>
    <w:rPr>
      <w:color w:val="000000"/>
      <w:sz w:val="20"/>
      <w:szCs w:val="20"/>
    </w:rPr>
  </w:style>
  <w:style w:type="character" w:styleId="EndnoteReference">
    <w:name w:val="endnote reference"/>
    <w:basedOn w:val="DefaultParagraphFont"/>
    <w:uiPriority w:val="99"/>
    <w:semiHidden/>
    <w:unhideWhenUsed/>
    <w:rsid w:val="00FE5B8A"/>
    <w:rPr>
      <w:vertAlign w:val="superscript"/>
    </w:rPr>
  </w:style>
  <w:style w:type="character" w:styleId="Hyperlink">
    <w:name w:val="Hyperlink"/>
    <w:basedOn w:val="DefaultParagraphFont"/>
    <w:uiPriority w:val="99"/>
    <w:unhideWhenUsed/>
    <w:rsid w:val="0044307F"/>
    <w:rPr>
      <w:color w:val="467886" w:themeColor="hyperlink"/>
      <w:u w:val="single"/>
    </w:rPr>
  </w:style>
  <w:style w:type="character" w:styleId="UnresolvedMention">
    <w:name w:val="Unresolved Mention"/>
    <w:basedOn w:val="DefaultParagraphFont"/>
    <w:uiPriority w:val="99"/>
    <w:semiHidden/>
    <w:unhideWhenUsed/>
    <w:rsid w:val="0044307F"/>
    <w:rPr>
      <w:color w:val="605E5C"/>
      <w:shd w:val="clear" w:color="auto" w:fill="E1DFDD"/>
    </w:rPr>
  </w:style>
  <w:style w:type="paragraph" w:styleId="FootnoteText">
    <w:name w:val="footnote text"/>
    <w:basedOn w:val="Normal"/>
    <w:link w:val="FootnoteTextChar"/>
    <w:uiPriority w:val="99"/>
    <w:semiHidden/>
    <w:unhideWhenUsed/>
    <w:rsid w:val="00390284"/>
    <w:rPr>
      <w:sz w:val="20"/>
      <w:szCs w:val="20"/>
    </w:rPr>
  </w:style>
  <w:style w:type="character" w:customStyle="1" w:styleId="FootnoteTextChar">
    <w:name w:val="Footnote Text Char"/>
    <w:basedOn w:val="DefaultParagraphFont"/>
    <w:link w:val="FootnoteText"/>
    <w:uiPriority w:val="99"/>
    <w:semiHidden/>
    <w:rsid w:val="00390284"/>
    <w:rPr>
      <w:color w:val="000000"/>
      <w:sz w:val="20"/>
      <w:szCs w:val="20"/>
    </w:rPr>
  </w:style>
  <w:style w:type="character" w:styleId="FootnoteReference">
    <w:name w:val="footnote reference"/>
    <w:basedOn w:val="DefaultParagraphFont"/>
    <w:uiPriority w:val="99"/>
    <w:semiHidden/>
    <w:unhideWhenUsed/>
    <w:rsid w:val="003902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05841">
      <w:bodyDiv w:val="1"/>
      <w:marLeft w:val="0"/>
      <w:marRight w:val="0"/>
      <w:marTop w:val="0"/>
      <w:marBottom w:val="0"/>
      <w:divBdr>
        <w:top w:val="none" w:sz="0" w:space="0" w:color="auto"/>
        <w:left w:val="none" w:sz="0" w:space="0" w:color="auto"/>
        <w:bottom w:val="none" w:sz="0" w:space="0" w:color="auto"/>
        <w:right w:val="none" w:sz="0" w:space="0" w:color="auto"/>
      </w:divBdr>
    </w:div>
    <w:div w:id="293874286">
      <w:bodyDiv w:val="1"/>
      <w:marLeft w:val="0"/>
      <w:marRight w:val="0"/>
      <w:marTop w:val="0"/>
      <w:marBottom w:val="0"/>
      <w:divBdr>
        <w:top w:val="none" w:sz="0" w:space="0" w:color="auto"/>
        <w:left w:val="none" w:sz="0" w:space="0" w:color="auto"/>
        <w:bottom w:val="none" w:sz="0" w:space="0" w:color="auto"/>
        <w:right w:val="none" w:sz="0" w:space="0" w:color="auto"/>
      </w:divBdr>
    </w:div>
    <w:div w:id="335772275">
      <w:bodyDiv w:val="1"/>
      <w:marLeft w:val="0"/>
      <w:marRight w:val="0"/>
      <w:marTop w:val="0"/>
      <w:marBottom w:val="0"/>
      <w:divBdr>
        <w:top w:val="none" w:sz="0" w:space="0" w:color="auto"/>
        <w:left w:val="none" w:sz="0" w:space="0" w:color="auto"/>
        <w:bottom w:val="none" w:sz="0" w:space="0" w:color="auto"/>
        <w:right w:val="none" w:sz="0" w:space="0" w:color="auto"/>
      </w:divBdr>
    </w:div>
    <w:div w:id="484705735">
      <w:bodyDiv w:val="1"/>
      <w:marLeft w:val="0"/>
      <w:marRight w:val="0"/>
      <w:marTop w:val="0"/>
      <w:marBottom w:val="0"/>
      <w:divBdr>
        <w:top w:val="none" w:sz="0" w:space="0" w:color="auto"/>
        <w:left w:val="none" w:sz="0" w:space="0" w:color="auto"/>
        <w:bottom w:val="none" w:sz="0" w:space="0" w:color="auto"/>
        <w:right w:val="none" w:sz="0" w:space="0" w:color="auto"/>
      </w:divBdr>
    </w:div>
    <w:div w:id="555700650">
      <w:bodyDiv w:val="1"/>
      <w:marLeft w:val="0"/>
      <w:marRight w:val="0"/>
      <w:marTop w:val="0"/>
      <w:marBottom w:val="0"/>
      <w:divBdr>
        <w:top w:val="none" w:sz="0" w:space="0" w:color="auto"/>
        <w:left w:val="none" w:sz="0" w:space="0" w:color="auto"/>
        <w:bottom w:val="none" w:sz="0" w:space="0" w:color="auto"/>
        <w:right w:val="none" w:sz="0" w:space="0" w:color="auto"/>
      </w:divBdr>
    </w:div>
    <w:div w:id="575632767">
      <w:bodyDiv w:val="1"/>
      <w:marLeft w:val="0"/>
      <w:marRight w:val="0"/>
      <w:marTop w:val="0"/>
      <w:marBottom w:val="0"/>
      <w:divBdr>
        <w:top w:val="none" w:sz="0" w:space="0" w:color="auto"/>
        <w:left w:val="none" w:sz="0" w:space="0" w:color="auto"/>
        <w:bottom w:val="none" w:sz="0" w:space="0" w:color="auto"/>
        <w:right w:val="none" w:sz="0" w:space="0" w:color="auto"/>
      </w:divBdr>
    </w:div>
    <w:div w:id="659577501">
      <w:bodyDiv w:val="1"/>
      <w:marLeft w:val="0"/>
      <w:marRight w:val="0"/>
      <w:marTop w:val="0"/>
      <w:marBottom w:val="0"/>
      <w:divBdr>
        <w:top w:val="none" w:sz="0" w:space="0" w:color="auto"/>
        <w:left w:val="none" w:sz="0" w:space="0" w:color="auto"/>
        <w:bottom w:val="none" w:sz="0" w:space="0" w:color="auto"/>
        <w:right w:val="none" w:sz="0" w:space="0" w:color="auto"/>
      </w:divBdr>
    </w:div>
    <w:div w:id="688142988">
      <w:bodyDiv w:val="1"/>
      <w:marLeft w:val="0"/>
      <w:marRight w:val="0"/>
      <w:marTop w:val="0"/>
      <w:marBottom w:val="0"/>
      <w:divBdr>
        <w:top w:val="none" w:sz="0" w:space="0" w:color="auto"/>
        <w:left w:val="none" w:sz="0" w:space="0" w:color="auto"/>
        <w:bottom w:val="none" w:sz="0" w:space="0" w:color="auto"/>
        <w:right w:val="none" w:sz="0" w:space="0" w:color="auto"/>
      </w:divBdr>
    </w:div>
    <w:div w:id="729422330">
      <w:bodyDiv w:val="1"/>
      <w:marLeft w:val="0"/>
      <w:marRight w:val="0"/>
      <w:marTop w:val="0"/>
      <w:marBottom w:val="0"/>
      <w:divBdr>
        <w:top w:val="none" w:sz="0" w:space="0" w:color="auto"/>
        <w:left w:val="none" w:sz="0" w:space="0" w:color="auto"/>
        <w:bottom w:val="none" w:sz="0" w:space="0" w:color="auto"/>
        <w:right w:val="none" w:sz="0" w:space="0" w:color="auto"/>
      </w:divBdr>
    </w:div>
    <w:div w:id="766081745">
      <w:bodyDiv w:val="1"/>
      <w:marLeft w:val="0"/>
      <w:marRight w:val="0"/>
      <w:marTop w:val="0"/>
      <w:marBottom w:val="0"/>
      <w:divBdr>
        <w:top w:val="none" w:sz="0" w:space="0" w:color="auto"/>
        <w:left w:val="none" w:sz="0" w:space="0" w:color="auto"/>
        <w:bottom w:val="none" w:sz="0" w:space="0" w:color="auto"/>
        <w:right w:val="none" w:sz="0" w:space="0" w:color="auto"/>
      </w:divBdr>
    </w:div>
    <w:div w:id="777332499">
      <w:bodyDiv w:val="1"/>
      <w:marLeft w:val="0"/>
      <w:marRight w:val="0"/>
      <w:marTop w:val="0"/>
      <w:marBottom w:val="0"/>
      <w:divBdr>
        <w:top w:val="none" w:sz="0" w:space="0" w:color="auto"/>
        <w:left w:val="none" w:sz="0" w:space="0" w:color="auto"/>
        <w:bottom w:val="none" w:sz="0" w:space="0" w:color="auto"/>
        <w:right w:val="none" w:sz="0" w:space="0" w:color="auto"/>
      </w:divBdr>
    </w:div>
    <w:div w:id="815335439">
      <w:bodyDiv w:val="1"/>
      <w:marLeft w:val="0"/>
      <w:marRight w:val="0"/>
      <w:marTop w:val="0"/>
      <w:marBottom w:val="0"/>
      <w:divBdr>
        <w:top w:val="none" w:sz="0" w:space="0" w:color="auto"/>
        <w:left w:val="none" w:sz="0" w:space="0" w:color="auto"/>
        <w:bottom w:val="none" w:sz="0" w:space="0" w:color="auto"/>
        <w:right w:val="none" w:sz="0" w:space="0" w:color="auto"/>
      </w:divBdr>
    </w:div>
    <w:div w:id="915750324">
      <w:bodyDiv w:val="1"/>
      <w:marLeft w:val="0"/>
      <w:marRight w:val="0"/>
      <w:marTop w:val="0"/>
      <w:marBottom w:val="0"/>
      <w:divBdr>
        <w:top w:val="none" w:sz="0" w:space="0" w:color="auto"/>
        <w:left w:val="none" w:sz="0" w:space="0" w:color="auto"/>
        <w:bottom w:val="none" w:sz="0" w:space="0" w:color="auto"/>
        <w:right w:val="none" w:sz="0" w:space="0" w:color="auto"/>
      </w:divBdr>
    </w:div>
    <w:div w:id="918175241">
      <w:bodyDiv w:val="1"/>
      <w:marLeft w:val="0"/>
      <w:marRight w:val="0"/>
      <w:marTop w:val="0"/>
      <w:marBottom w:val="0"/>
      <w:divBdr>
        <w:top w:val="none" w:sz="0" w:space="0" w:color="auto"/>
        <w:left w:val="none" w:sz="0" w:space="0" w:color="auto"/>
        <w:bottom w:val="none" w:sz="0" w:space="0" w:color="auto"/>
        <w:right w:val="none" w:sz="0" w:space="0" w:color="auto"/>
      </w:divBdr>
    </w:div>
    <w:div w:id="971130116">
      <w:bodyDiv w:val="1"/>
      <w:marLeft w:val="0"/>
      <w:marRight w:val="0"/>
      <w:marTop w:val="0"/>
      <w:marBottom w:val="0"/>
      <w:divBdr>
        <w:top w:val="none" w:sz="0" w:space="0" w:color="auto"/>
        <w:left w:val="none" w:sz="0" w:space="0" w:color="auto"/>
        <w:bottom w:val="none" w:sz="0" w:space="0" w:color="auto"/>
        <w:right w:val="none" w:sz="0" w:space="0" w:color="auto"/>
      </w:divBdr>
    </w:div>
    <w:div w:id="1027802207">
      <w:bodyDiv w:val="1"/>
      <w:marLeft w:val="0"/>
      <w:marRight w:val="0"/>
      <w:marTop w:val="0"/>
      <w:marBottom w:val="0"/>
      <w:divBdr>
        <w:top w:val="none" w:sz="0" w:space="0" w:color="auto"/>
        <w:left w:val="none" w:sz="0" w:space="0" w:color="auto"/>
        <w:bottom w:val="none" w:sz="0" w:space="0" w:color="auto"/>
        <w:right w:val="none" w:sz="0" w:space="0" w:color="auto"/>
      </w:divBdr>
    </w:div>
    <w:div w:id="1065954140">
      <w:bodyDiv w:val="1"/>
      <w:marLeft w:val="0"/>
      <w:marRight w:val="0"/>
      <w:marTop w:val="0"/>
      <w:marBottom w:val="0"/>
      <w:divBdr>
        <w:top w:val="none" w:sz="0" w:space="0" w:color="auto"/>
        <w:left w:val="none" w:sz="0" w:space="0" w:color="auto"/>
        <w:bottom w:val="none" w:sz="0" w:space="0" w:color="auto"/>
        <w:right w:val="none" w:sz="0" w:space="0" w:color="auto"/>
      </w:divBdr>
    </w:div>
    <w:div w:id="1096486698">
      <w:bodyDiv w:val="1"/>
      <w:marLeft w:val="0"/>
      <w:marRight w:val="0"/>
      <w:marTop w:val="0"/>
      <w:marBottom w:val="0"/>
      <w:divBdr>
        <w:top w:val="none" w:sz="0" w:space="0" w:color="auto"/>
        <w:left w:val="none" w:sz="0" w:space="0" w:color="auto"/>
        <w:bottom w:val="none" w:sz="0" w:space="0" w:color="auto"/>
        <w:right w:val="none" w:sz="0" w:space="0" w:color="auto"/>
      </w:divBdr>
    </w:div>
    <w:div w:id="1116829981">
      <w:bodyDiv w:val="1"/>
      <w:marLeft w:val="0"/>
      <w:marRight w:val="0"/>
      <w:marTop w:val="0"/>
      <w:marBottom w:val="0"/>
      <w:divBdr>
        <w:top w:val="none" w:sz="0" w:space="0" w:color="auto"/>
        <w:left w:val="none" w:sz="0" w:space="0" w:color="auto"/>
        <w:bottom w:val="none" w:sz="0" w:space="0" w:color="auto"/>
        <w:right w:val="none" w:sz="0" w:space="0" w:color="auto"/>
      </w:divBdr>
    </w:div>
    <w:div w:id="1241596849">
      <w:bodyDiv w:val="1"/>
      <w:marLeft w:val="0"/>
      <w:marRight w:val="0"/>
      <w:marTop w:val="0"/>
      <w:marBottom w:val="0"/>
      <w:divBdr>
        <w:top w:val="none" w:sz="0" w:space="0" w:color="auto"/>
        <w:left w:val="none" w:sz="0" w:space="0" w:color="auto"/>
        <w:bottom w:val="none" w:sz="0" w:space="0" w:color="auto"/>
        <w:right w:val="none" w:sz="0" w:space="0" w:color="auto"/>
      </w:divBdr>
    </w:div>
    <w:div w:id="1266502733">
      <w:bodyDiv w:val="1"/>
      <w:marLeft w:val="0"/>
      <w:marRight w:val="0"/>
      <w:marTop w:val="0"/>
      <w:marBottom w:val="0"/>
      <w:divBdr>
        <w:top w:val="none" w:sz="0" w:space="0" w:color="auto"/>
        <w:left w:val="none" w:sz="0" w:space="0" w:color="auto"/>
        <w:bottom w:val="none" w:sz="0" w:space="0" w:color="auto"/>
        <w:right w:val="none" w:sz="0" w:space="0" w:color="auto"/>
      </w:divBdr>
    </w:div>
    <w:div w:id="1334450870">
      <w:bodyDiv w:val="1"/>
      <w:marLeft w:val="0"/>
      <w:marRight w:val="0"/>
      <w:marTop w:val="0"/>
      <w:marBottom w:val="0"/>
      <w:divBdr>
        <w:top w:val="none" w:sz="0" w:space="0" w:color="auto"/>
        <w:left w:val="none" w:sz="0" w:space="0" w:color="auto"/>
        <w:bottom w:val="none" w:sz="0" w:space="0" w:color="auto"/>
        <w:right w:val="none" w:sz="0" w:space="0" w:color="auto"/>
      </w:divBdr>
    </w:div>
    <w:div w:id="1371951491">
      <w:bodyDiv w:val="1"/>
      <w:marLeft w:val="0"/>
      <w:marRight w:val="0"/>
      <w:marTop w:val="0"/>
      <w:marBottom w:val="0"/>
      <w:divBdr>
        <w:top w:val="none" w:sz="0" w:space="0" w:color="auto"/>
        <w:left w:val="none" w:sz="0" w:space="0" w:color="auto"/>
        <w:bottom w:val="none" w:sz="0" w:space="0" w:color="auto"/>
        <w:right w:val="none" w:sz="0" w:space="0" w:color="auto"/>
      </w:divBdr>
    </w:div>
    <w:div w:id="1391491119">
      <w:bodyDiv w:val="1"/>
      <w:marLeft w:val="0"/>
      <w:marRight w:val="0"/>
      <w:marTop w:val="0"/>
      <w:marBottom w:val="0"/>
      <w:divBdr>
        <w:top w:val="none" w:sz="0" w:space="0" w:color="auto"/>
        <w:left w:val="none" w:sz="0" w:space="0" w:color="auto"/>
        <w:bottom w:val="none" w:sz="0" w:space="0" w:color="auto"/>
        <w:right w:val="none" w:sz="0" w:space="0" w:color="auto"/>
      </w:divBdr>
    </w:div>
    <w:div w:id="1633245438">
      <w:bodyDiv w:val="1"/>
      <w:marLeft w:val="0"/>
      <w:marRight w:val="0"/>
      <w:marTop w:val="0"/>
      <w:marBottom w:val="0"/>
      <w:divBdr>
        <w:top w:val="none" w:sz="0" w:space="0" w:color="auto"/>
        <w:left w:val="none" w:sz="0" w:space="0" w:color="auto"/>
        <w:bottom w:val="none" w:sz="0" w:space="0" w:color="auto"/>
        <w:right w:val="none" w:sz="0" w:space="0" w:color="auto"/>
      </w:divBdr>
    </w:div>
    <w:div w:id="1649438327">
      <w:bodyDiv w:val="1"/>
      <w:marLeft w:val="0"/>
      <w:marRight w:val="0"/>
      <w:marTop w:val="0"/>
      <w:marBottom w:val="0"/>
      <w:divBdr>
        <w:top w:val="none" w:sz="0" w:space="0" w:color="auto"/>
        <w:left w:val="none" w:sz="0" w:space="0" w:color="auto"/>
        <w:bottom w:val="none" w:sz="0" w:space="0" w:color="auto"/>
        <w:right w:val="none" w:sz="0" w:space="0" w:color="auto"/>
      </w:divBdr>
    </w:div>
    <w:div w:id="1671519936">
      <w:bodyDiv w:val="1"/>
      <w:marLeft w:val="0"/>
      <w:marRight w:val="0"/>
      <w:marTop w:val="0"/>
      <w:marBottom w:val="0"/>
      <w:divBdr>
        <w:top w:val="none" w:sz="0" w:space="0" w:color="auto"/>
        <w:left w:val="none" w:sz="0" w:space="0" w:color="auto"/>
        <w:bottom w:val="none" w:sz="0" w:space="0" w:color="auto"/>
        <w:right w:val="none" w:sz="0" w:space="0" w:color="auto"/>
      </w:divBdr>
    </w:div>
    <w:div w:id="1721442569">
      <w:bodyDiv w:val="1"/>
      <w:marLeft w:val="0"/>
      <w:marRight w:val="0"/>
      <w:marTop w:val="0"/>
      <w:marBottom w:val="0"/>
      <w:divBdr>
        <w:top w:val="none" w:sz="0" w:space="0" w:color="auto"/>
        <w:left w:val="none" w:sz="0" w:space="0" w:color="auto"/>
        <w:bottom w:val="none" w:sz="0" w:space="0" w:color="auto"/>
        <w:right w:val="none" w:sz="0" w:space="0" w:color="auto"/>
      </w:divBdr>
    </w:div>
    <w:div w:id="1752847911">
      <w:bodyDiv w:val="1"/>
      <w:marLeft w:val="0"/>
      <w:marRight w:val="0"/>
      <w:marTop w:val="0"/>
      <w:marBottom w:val="0"/>
      <w:divBdr>
        <w:top w:val="none" w:sz="0" w:space="0" w:color="auto"/>
        <w:left w:val="none" w:sz="0" w:space="0" w:color="auto"/>
        <w:bottom w:val="none" w:sz="0" w:space="0" w:color="auto"/>
        <w:right w:val="none" w:sz="0" w:space="0" w:color="auto"/>
      </w:divBdr>
    </w:div>
    <w:div w:id="1765226182">
      <w:bodyDiv w:val="1"/>
      <w:marLeft w:val="0"/>
      <w:marRight w:val="0"/>
      <w:marTop w:val="0"/>
      <w:marBottom w:val="0"/>
      <w:divBdr>
        <w:top w:val="none" w:sz="0" w:space="0" w:color="auto"/>
        <w:left w:val="none" w:sz="0" w:space="0" w:color="auto"/>
        <w:bottom w:val="none" w:sz="0" w:space="0" w:color="auto"/>
        <w:right w:val="none" w:sz="0" w:space="0" w:color="auto"/>
      </w:divBdr>
    </w:div>
    <w:div w:id="1853454648">
      <w:bodyDiv w:val="1"/>
      <w:marLeft w:val="0"/>
      <w:marRight w:val="0"/>
      <w:marTop w:val="0"/>
      <w:marBottom w:val="0"/>
      <w:divBdr>
        <w:top w:val="none" w:sz="0" w:space="0" w:color="auto"/>
        <w:left w:val="none" w:sz="0" w:space="0" w:color="auto"/>
        <w:bottom w:val="none" w:sz="0" w:space="0" w:color="auto"/>
        <w:right w:val="none" w:sz="0" w:space="0" w:color="auto"/>
      </w:divBdr>
    </w:div>
    <w:div w:id="1860240657">
      <w:bodyDiv w:val="1"/>
      <w:marLeft w:val="0"/>
      <w:marRight w:val="0"/>
      <w:marTop w:val="0"/>
      <w:marBottom w:val="0"/>
      <w:divBdr>
        <w:top w:val="none" w:sz="0" w:space="0" w:color="auto"/>
        <w:left w:val="none" w:sz="0" w:space="0" w:color="auto"/>
        <w:bottom w:val="none" w:sz="0" w:space="0" w:color="auto"/>
        <w:right w:val="none" w:sz="0" w:space="0" w:color="auto"/>
      </w:divBdr>
    </w:div>
    <w:div w:id="1898471796">
      <w:bodyDiv w:val="1"/>
      <w:marLeft w:val="0"/>
      <w:marRight w:val="0"/>
      <w:marTop w:val="0"/>
      <w:marBottom w:val="0"/>
      <w:divBdr>
        <w:top w:val="none" w:sz="0" w:space="0" w:color="auto"/>
        <w:left w:val="none" w:sz="0" w:space="0" w:color="auto"/>
        <w:bottom w:val="none" w:sz="0" w:space="0" w:color="auto"/>
        <w:right w:val="none" w:sz="0" w:space="0" w:color="auto"/>
      </w:divBdr>
    </w:div>
    <w:div w:id="1912422560">
      <w:bodyDiv w:val="1"/>
      <w:marLeft w:val="0"/>
      <w:marRight w:val="0"/>
      <w:marTop w:val="0"/>
      <w:marBottom w:val="0"/>
      <w:divBdr>
        <w:top w:val="none" w:sz="0" w:space="0" w:color="auto"/>
        <w:left w:val="none" w:sz="0" w:space="0" w:color="auto"/>
        <w:bottom w:val="none" w:sz="0" w:space="0" w:color="auto"/>
        <w:right w:val="none" w:sz="0" w:space="0" w:color="auto"/>
      </w:divBdr>
    </w:div>
    <w:div w:id="194118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2C565AAC45064188011A3137D27FC4" ma:contentTypeVersion="16" ma:contentTypeDescription="Een nieuw document maken." ma:contentTypeScope="" ma:versionID="9bb7bfdb3f5d240737889b847ef8f8ec">
  <xsd:schema xmlns:xsd="http://www.w3.org/2001/XMLSchema" xmlns:xs="http://www.w3.org/2001/XMLSchema" xmlns:p="http://schemas.microsoft.com/office/2006/metadata/properties" xmlns:ns2="97b87f5a-63f0-4377-8799-0428520b07b9" xmlns:ns3="5ab261ef-c7cd-4487-a3bf-ac53e8134183" targetNamespace="http://schemas.microsoft.com/office/2006/metadata/properties" ma:root="true" ma:fieldsID="b989f2630e6f64ea7f8159d3f7e9b00e" ns2:_="" ns3:_="">
    <xsd:import namespace="97b87f5a-63f0-4377-8799-0428520b07b9"/>
    <xsd:import namespace="5ab261ef-c7cd-4487-a3bf-ac53e81341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87f5a-63f0-4377-8799-0428520b0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31416eb-dcc4-4e8e-aa10-38357e8520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b261ef-c7cd-4487-a3bf-ac53e8134183"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c2e29c6-1486-4cff-8a1d-538c4cab06bd}" ma:internalName="TaxCatchAll" ma:showField="CatchAllData" ma:web="5ab261ef-c7cd-4487-a3bf-ac53e81341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b87f5a-63f0-4377-8799-0428520b07b9">
      <Terms xmlns="http://schemas.microsoft.com/office/infopath/2007/PartnerControls"/>
    </lcf76f155ced4ddcb4097134ff3c332f>
    <TaxCatchAll xmlns="5ab261ef-c7cd-4487-a3bf-ac53e8134183" xsi:nil="true"/>
  </documentManagement>
</p:properties>
</file>

<file path=customXml/itemProps1.xml><?xml version="1.0" encoding="utf-8"?>
<ds:datastoreItem xmlns:ds="http://schemas.openxmlformats.org/officeDocument/2006/customXml" ds:itemID="{D7F726E5-5206-4524-9824-B03FB67D6B7D}">
  <ds:schemaRefs>
    <ds:schemaRef ds:uri="http://schemas.openxmlformats.org/officeDocument/2006/bibliography"/>
  </ds:schemaRefs>
</ds:datastoreItem>
</file>

<file path=customXml/itemProps2.xml><?xml version="1.0" encoding="utf-8"?>
<ds:datastoreItem xmlns:ds="http://schemas.openxmlformats.org/officeDocument/2006/customXml" ds:itemID="{E9B1D702-1517-4996-A650-1A4307CEE9E4}"/>
</file>

<file path=customXml/itemProps3.xml><?xml version="1.0" encoding="utf-8"?>
<ds:datastoreItem xmlns:ds="http://schemas.openxmlformats.org/officeDocument/2006/customXml" ds:itemID="{DB6E5683-0F3A-42D6-966D-6CFB1BD0CCB4}"/>
</file>

<file path=customXml/itemProps4.xml><?xml version="1.0" encoding="utf-8"?>
<ds:datastoreItem xmlns:ds="http://schemas.openxmlformats.org/officeDocument/2006/customXml" ds:itemID="{F8E4046F-D601-4F16-9684-06E66ED31468}"/>
</file>

<file path=docProps/app.xml><?xml version="1.0" encoding="utf-8"?>
<Properties xmlns="http://schemas.openxmlformats.org/officeDocument/2006/extended-properties" xmlns:vt="http://schemas.openxmlformats.org/officeDocument/2006/docPropsVTypes">
  <Template>Normal</Template>
  <TotalTime>15</TotalTime>
  <Pages>4</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van der Wal</dc:creator>
  <cp:keywords/>
  <cp:lastModifiedBy>Amarins van der Sluis</cp:lastModifiedBy>
  <cp:revision>3</cp:revision>
  <dcterms:created xsi:type="dcterms:W3CDTF">2026-07-25T03:46:00Z</dcterms:created>
  <dcterms:modified xsi:type="dcterms:W3CDTF">2026-07-25T03:56:00Z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0x010100F02C565AAC45064188011A3137D27FC4</vt:lpwstr>
  </property>
</Properties>
</file>